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8AEDE" w14:textId="138C2064" w:rsidR="00593E21" w:rsidRPr="00593E21" w:rsidRDefault="00593E21" w:rsidP="0083290C">
      <w:pPr>
        <w:spacing w:before="0" w:after="160" w:line="360" w:lineRule="auto"/>
        <w:jc w:val="center"/>
        <w:rPr>
          <w:b/>
          <w:bCs/>
          <w:smallCaps/>
          <w:u w:val="single"/>
        </w:rPr>
      </w:pPr>
      <w:r w:rsidRPr="00593E21">
        <w:rPr>
          <w:b/>
          <w:bCs/>
          <w:smallCaps/>
          <w:u w:val="single"/>
        </w:rPr>
        <w:t>U.S. Federal Income Tax Implications of Wrapping Crypto-assets</w:t>
      </w:r>
    </w:p>
    <w:p w14:paraId="4FAAD264" w14:textId="60E2C47C" w:rsidR="00593E21" w:rsidRDefault="00593E21" w:rsidP="0083290C">
      <w:pPr>
        <w:spacing w:before="0" w:after="160" w:line="360" w:lineRule="auto"/>
        <w:jc w:val="center"/>
      </w:pPr>
      <w:r>
        <w:t>By David L. Forst, Sean P. McElroy, and Matthew L. Dimon</w:t>
      </w:r>
    </w:p>
    <w:p w14:paraId="3442DCBF" w14:textId="77777777" w:rsidR="00DD447E" w:rsidRDefault="00DD447E" w:rsidP="0083290C">
      <w:pPr>
        <w:spacing w:before="0" w:after="160" w:line="360" w:lineRule="auto"/>
        <w:ind w:left="0" w:firstLine="432"/>
        <w:jc w:val="both"/>
      </w:pPr>
    </w:p>
    <w:p w14:paraId="6E9516B8" w14:textId="31E2D40E" w:rsidR="00593E21" w:rsidRDefault="00593E21" w:rsidP="0083290C">
      <w:pPr>
        <w:spacing w:before="0" w:after="160" w:line="360" w:lineRule="auto"/>
        <w:ind w:left="0" w:firstLine="432"/>
        <w:jc w:val="both"/>
      </w:pPr>
      <w:r>
        <w:t xml:space="preserve">This article discusses the U.S. federal income tax consequences of </w:t>
      </w:r>
      <w:r w:rsidR="008158B5">
        <w:t>“</w:t>
      </w:r>
      <w:r>
        <w:t>wrapping</w:t>
      </w:r>
      <w:r w:rsidR="008158B5">
        <w:t>”</w:t>
      </w:r>
      <w:r>
        <w:t xml:space="preserve"> crypto-assets. </w:t>
      </w:r>
      <w:r w:rsidR="00DD447E">
        <w:t xml:space="preserve"> </w:t>
      </w:r>
      <w:r w:rsidR="00275ECE">
        <w:t>Wrapping – as further discussed below – is a common occurrence whereby</w:t>
      </w:r>
      <w:r w:rsidR="00DD447E">
        <w:t xml:space="preserve"> a tokenized representation of an underlying crypto-asset</w:t>
      </w:r>
      <w:r w:rsidR="00F64AED">
        <w:t xml:space="preserve"> is created</w:t>
      </w:r>
      <w:r w:rsidR="00DD447E">
        <w:t xml:space="preserve">.  The </w:t>
      </w:r>
      <w:r w:rsidR="005B58F7">
        <w:t>U.S. Internal Revenue Service (“</w:t>
      </w:r>
      <w:r w:rsidR="00DD447E" w:rsidRPr="00DD3708">
        <w:t>IRS</w:t>
      </w:r>
      <w:r w:rsidR="005B58F7">
        <w:t>”)</w:t>
      </w:r>
      <w:r w:rsidR="00DD447E">
        <w:t xml:space="preserve"> has not provided any guidance to date on the tax treatment of wrapping </w:t>
      </w:r>
      <w:r w:rsidR="00F64AED">
        <w:t>assets.  That said,</w:t>
      </w:r>
      <w:r w:rsidR="00DD447E">
        <w:t xml:space="preserve"> current law provides a clear framework for the proper tax treatment</w:t>
      </w:r>
      <w:r w:rsidR="00F64AED">
        <w:t xml:space="preserve"> of wrapping and unwrapping tokens (which applies in equal force to </w:t>
      </w:r>
      <w:r w:rsidR="0051343B">
        <w:t>tokens being bridged, and to tokens representing underlying interests in token pools, as discussed below)</w:t>
      </w:r>
      <w:r w:rsidR="00DD447E">
        <w:t xml:space="preserve">.  </w:t>
      </w:r>
      <w:r w:rsidR="0051343B">
        <w:t>As discussed below</w:t>
      </w:r>
      <w:r w:rsidR="00DD447E">
        <w:t xml:space="preserve">, the wrapping of a crypto-asset should not result in </w:t>
      </w:r>
      <w:r w:rsidR="0051343B">
        <w:t>a taxable event</w:t>
      </w:r>
      <w:r w:rsidR="00DD447E">
        <w:t xml:space="preserve"> under current U.S. federal income tax law. </w:t>
      </w:r>
    </w:p>
    <w:p w14:paraId="3513788B" w14:textId="77777777" w:rsidR="00DD447E" w:rsidRDefault="00DD447E" w:rsidP="0083290C">
      <w:pPr>
        <w:spacing w:before="0" w:after="160" w:line="360" w:lineRule="auto"/>
        <w:ind w:left="0" w:firstLine="432"/>
        <w:jc w:val="both"/>
      </w:pPr>
    </w:p>
    <w:p w14:paraId="554E6ECF" w14:textId="39F2B6A6" w:rsidR="00593E21" w:rsidRPr="00593E21" w:rsidRDefault="00593E21" w:rsidP="0083290C">
      <w:pPr>
        <w:spacing w:before="0" w:after="160" w:line="360" w:lineRule="auto"/>
        <w:jc w:val="center"/>
        <w:rPr>
          <w:b/>
          <w:bCs/>
          <w:u w:val="single"/>
        </w:rPr>
      </w:pPr>
      <w:r w:rsidRPr="00593E21">
        <w:rPr>
          <w:b/>
          <w:bCs/>
          <w:u w:val="single"/>
        </w:rPr>
        <w:t>Background</w:t>
      </w:r>
    </w:p>
    <w:p w14:paraId="75208951" w14:textId="7D6E0B75" w:rsidR="00DB2090" w:rsidRDefault="00E62407" w:rsidP="0083290C">
      <w:pPr>
        <w:spacing w:before="0" w:after="160" w:line="360" w:lineRule="auto"/>
        <w:ind w:left="0" w:firstLine="720"/>
        <w:jc w:val="both"/>
      </w:pPr>
      <w:r>
        <w:t>C</w:t>
      </w:r>
      <w:r w:rsidR="00DB2090">
        <w:t>rypto</w:t>
      </w:r>
      <w:r w:rsidR="00537A77">
        <w:t>-asset</w:t>
      </w:r>
      <w:r>
        <w:t>s</w:t>
      </w:r>
      <w:r w:rsidR="00593E21">
        <w:rPr>
          <w:rStyle w:val="FootnoteReference"/>
        </w:rPr>
        <w:footnoteReference w:id="1"/>
      </w:r>
      <w:r w:rsidR="00537A77">
        <w:t xml:space="preserve"> </w:t>
      </w:r>
      <w:r w:rsidR="00DB2090">
        <w:t xml:space="preserve">can be wrapped.  </w:t>
      </w:r>
      <w:r w:rsidR="00537A77">
        <w:t xml:space="preserve">Wrapping a crypto-asset results in a tokenized representation of the wrapped crypto-asset – what we will call a Receipt Token.  A Receipt Token is often (but not always) pegged at a 1:1 ratio to the underlying </w:t>
      </w:r>
      <w:proofErr w:type="gramStart"/>
      <w:r w:rsidR="00537A77">
        <w:t>asset, and</w:t>
      </w:r>
      <w:proofErr w:type="gramEnd"/>
      <w:r w:rsidR="00537A77">
        <w:t xml:space="preserve"> tracks the value of the underlying token.  A Receipt Token can, in some cases, </w:t>
      </w:r>
      <w:r w:rsidR="000E62A8">
        <w:t xml:space="preserve">enable a token’s value to </w:t>
      </w:r>
      <w:r w:rsidR="00537A77">
        <w:t>be u</w:t>
      </w:r>
      <w:r w:rsidR="000E62A8">
        <w:t xml:space="preserve">tilized </w:t>
      </w:r>
      <w:r w:rsidR="00537A77">
        <w:t xml:space="preserve">on a different blockchain.  </w:t>
      </w:r>
      <w:r w:rsidR="001E51BC">
        <w:t xml:space="preserve">A </w:t>
      </w:r>
      <w:r w:rsidR="00537A77">
        <w:t>Receipt Token may</w:t>
      </w:r>
      <w:r w:rsidR="001E51BC">
        <w:t xml:space="preserve"> also</w:t>
      </w:r>
      <w:r w:rsidR="00537A77">
        <w:t xml:space="preserve"> represent an underlying interest in a liquidity pool or a staking pool.</w:t>
      </w:r>
      <w:r w:rsidR="00A2799C">
        <w:t xml:space="preserve">  In </w:t>
      </w:r>
      <w:r w:rsidR="00E53A23">
        <w:t xml:space="preserve">either </w:t>
      </w:r>
      <w:r w:rsidR="00A2799C">
        <w:t>case, it is merely a tokenized form of another token.</w:t>
      </w:r>
    </w:p>
    <w:p w14:paraId="39C24B12" w14:textId="6537C91C" w:rsidR="00537A77" w:rsidRDefault="00537A77" w:rsidP="0083290C">
      <w:pPr>
        <w:spacing w:before="0" w:after="160" w:line="360" w:lineRule="auto"/>
        <w:ind w:left="0" w:firstLine="720"/>
        <w:jc w:val="both"/>
      </w:pPr>
      <w:r>
        <w:t xml:space="preserve">An example is illustrative.  Consider token </w:t>
      </w:r>
      <w:r w:rsidRPr="00537A77">
        <w:rPr>
          <w:i/>
          <w:iCs/>
        </w:rPr>
        <w:t>A</w:t>
      </w:r>
      <w:r>
        <w:t xml:space="preserve">, which is native to the Alpha Blockchain.  One may wish to transact in a certain token </w:t>
      </w:r>
      <w:r w:rsidRPr="00537A77">
        <w:rPr>
          <w:i/>
          <w:iCs/>
        </w:rPr>
        <w:t>A</w:t>
      </w:r>
      <w:r>
        <w:t xml:space="preserve"> on the Beta Blockchain.  One might thus lock the A token on the Alpha </w:t>
      </w:r>
      <w:proofErr w:type="gramStart"/>
      <w:r>
        <w:t>blockchain, and</w:t>
      </w:r>
      <w:proofErr w:type="gramEnd"/>
      <w:r>
        <w:t xml:space="preserve"> then mint a Receipt Token that can be transmitted on the </w:t>
      </w:r>
      <w:r>
        <w:lastRenderedPageBreak/>
        <w:t xml:space="preserve">Beta Blockchain.  </w:t>
      </w:r>
      <w:r w:rsidR="002D6971">
        <w:t xml:space="preserve">Although a new token has been minted, that token is merely a reflection of the underlying </w:t>
      </w:r>
      <w:r w:rsidR="002D6971" w:rsidRPr="00DB508E">
        <w:rPr>
          <w:i/>
          <w:iCs/>
        </w:rPr>
        <w:t>A</w:t>
      </w:r>
      <w:r w:rsidR="002D6971">
        <w:t xml:space="preserve"> token that is locked up on the Alpha Blockchain. </w:t>
      </w:r>
    </w:p>
    <w:p w14:paraId="7AB61479" w14:textId="0C58877E" w:rsidR="00024819" w:rsidRDefault="002D6971" w:rsidP="0083290C">
      <w:pPr>
        <w:spacing w:before="0" w:after="160" w:line="360" w:lineRule="auto"/>
        <w:ind w:left="0" w:firstLine="720"/>
        <w:jc w:val="both"/>
      </w:pPr>
      <w:r>
        <w:t>As another example, one might wish to stake</w:t>
      </w:r>
      <w:r w:rsidR="00845BCB">
        <w:t xml:space="preserve"> an</w:t>
      </w:r>
      <w:r>
        <w:t xml:space="preserve"> </w:t>
      </w:r>
      <w:r w:rsidRPr="00DB508E">
        <w:rPr>
          <w:i/>
          <w:iCs/>
        </w:rPr>
        <w:t>A</w:t>
      </w:r>
      <w:r>
        <w:t xml:space="preserve"> </w:t>
      </w:r>
      <w:r w:rsidR="00845BCB">
        <w:t xml:space="preserve">token </w:t>
      </w:r>
      <w:r>
        <w:t>in a staking pool.</w:t>
      </w:r>
      <w:r w:rsidR="00357E07">
        <w:rPr>
          <w:rStyle w:val="FootnoteReference"/>
        </w:rPr>
        <w:footnoteReference w:id="2"/>
      </w:r>
      <w:r>
        <w:t xml:space="preserve">  One might thus put </w:t>
      </w:r>
      <w:r w:rsidR="00DB508E">
        <w:t>an</w:t>
      </w:r>
      <w:r>
        <w:t xml:space="preserve"> </w:t>
      </w:r>
      <w:r w:rsidRPr="00DB508E">
        <w:rPr>
          <w:i/>
          <w:iCs/>
        </w:rPr>
        <w:t>A</w:t>
      </w:r>
      <w:r>
        <w:t xml:space="preserve"> </w:t>
      </w:r>
      <w:r w:rsidR="00DB508E">
        <w:t xml:space="preserve">into a staking pool, and receive a Receipt Token we could call </w:t>
      </w:r>
      <w:r w:rsidR="00A7775A">
        <w:t>S</w:t>
      </w:r>
      <w:r w:rsidR="00DB508E">
        <w:t>taked</w:t>
      </w:r>
      <w:r w:rsidR="0083290C">
        <w:t xml:space="preserve"> </w:t>
      </w:r>
      <w:r w:rsidR="00DB508E" w:rsidRPr="0083290C">
        <w:rPr>
          <w:i/>
          <w:iCs/>
        </w:rPr>
        <w:t>A</w:t>
      </w:r>
      <w:r w:rsidR="00DB508E">
        <w:t xml:space="preserve">.  The </w:t>
      </w:r>
      <w:r w:rsidR="00A7775A">
        <w:t>S</w:t>
      </w:r>
      <w:r w:rsidR="00DB508E">
        <w:t>taked</w:t>
      </w:r>
      <w:r w:rsidR="0083290C">
        <w:t xml:space="preserve"> </w:t>
      </w:r>
      <w:r w:rsidR="00DB508E" w:rsidRPr="0083290C">
        <w:rPr>
          <w:i/>
          <w:iCs/>
        </w:rPr>
        <w:t>A</w:t>
      </w:r>
      <w:r w:rsidR="00DB508E">
        <w:t xml:space="preserve"> here represents only the </w:t>
      </w:r>
      <w:r w:rsidR="00DB508E" w:rsidRPr="0083290C">
        <w:rPr>
          <w:i/>
          <w:iCs/>
        </w:rPr>
        <w:t xml:space="preserve">A </w:t>
      </w:r>
      <w:r w:rsidR="00DB508E">
        <w:t xml:space="preserve">in the staking </w:t>
      </w:r>
      <w:proofErr w:type="gramStart"/>
      <w:r w:rsidR="00DB508E">
        <w:t>pool, and</w:t>
      </w:r>
      <w:proofErr w:type="gramEnd"/>
      <w:r w:rsidR="00DB508E">
        <w:t xml:space="preserve"> can be freely transmitted.</w:t>
      </w:r>
      <w:r w:rsidR="0083290C">
        <w:t xml:space="preserve">  </w:t>
      </w:r>
      <w:r w:rsidR="00DB508E">
        <w:t xml:space="preserve">In each case, the holder of the </w:t>
      </w:r>
      <w:r w:rsidR="00DB508E" w:rsidRPr="0083290C">
        <w:rPr>
          <w:i/>
          <w:iCs/>
        </w:rPr>
        <w:t>A</w:t>
      </w:r>
      <w:r w:rsidR="00DB508E">
        <w:t xml:space="preserve"> token does not relinquish beneficial ownership of the </w:t>
      </w:r>
      <w:r w:rsidR="00DB508E" w:rsidRPr="0083290C">
        <w:rPr>
          <w:i/>
          <w:iCs/>
        </w:rPr>
        <w:t>A</w:t>
      </w:r>
      <w:r w:rsidR="00DB508E">
        <w:t xml:space="preserve"> token.  Further, the holder retains all benefits of burdens of the </w:t>
      </w:r>
      <w:r w:rsidR="00DB508E" w:rsidRPr="0083290C">
        <w:rPr>
          <w:i/>
          <w:iCs/>
        </w:rPr>
        <w:t>A</w:t>
      </w:r>
      <w:r w:rsidR="00DB508E">
        <w:t xml:space="preserve"> tokens.  </w:t>
      </w:r>
      <w:r w:rsidR="00024819">
        <w:t xml:space="preserve">Possession of </w:t>
      </w:r>
      <w:r w:rsidR="008A0549">
        <w:t xml:space="preserve">the </w:t>
      </w:r>
      <w:r w:rsidR="00024819">
        <w:t xml:space="preserve">Receipt Token is </w:t>
      </w:r>
      <w:r w:rsidR="00024819" w:rsidRPr="00872BE6">
        <w:rPr>
          <w:lang w:val="en"/>
        </w:rPr>
        <w:t xml:space="preserve">simply evidence and a direct reflection of its ownership of the </w:t>
      </w:r>
      <w:r w:rsidR="00024819">
        <w:rPr>
          <w:lang w:val="en"/>
        </w:rPr>
        <w:t>underlying token</w:t>
      </w:r>
      <w:r w:rsidR="00024819" w:rsidRPr="00872BE6">
        <w:rPr>
          <w:lang w:val="en"/>
        </w:rPr>
        <w:t>.</w:t>
      </w:r>
      <w:r w:rsidR="00024819" w:rsidRPr="00024819">
        <w:t xml:space="preserve"> </w:t>
      </w:r>
      <w:r w:rsidR="00024819" w:rsidRPr="00763453">
        <w:t xml:space="preserve">The </w:t>
      </w:r>
      <w:r w:rsidR="00763453" w:rsidRPr="00763453">
        <w:t>Receipt</w:t>
      </w:r>
      <w:r w:rsidR="00024819" w:rsidRPr="00763453">
        <w:t xml:space="preserve"> Token holder retains all upside and downside risks associated with the underlying token.  I</w:t>
      </w:r>
      <w:r w:rsidR="00763453" w:rsidRPr="00763453">
        <w:t xml:space="preserve">n </w:t>
      </w:r>
      <w:r w:rsidR="00024819" w:rsidRPr="00763453">
        <w:t xml:space="preserve">the case of our </w:t>
      </w:r>
      <w:r w:rsidR="00763453" w:rsidRPr="00763453">
        <w:t>hypothetical</w:t>
      </w:r>
      <w:r w:rsidR="00024819" w:rsidRPr="00763453">
        <w:t xml:space="preserve"> </w:t>
      </w:r>
      <w:r w:rsidR="00024819" w:rsidRPr="007147BF">
        <w:rPr>
          <w:i/>
          <w:iCs/>
        </w:rPr>
        <w:t>A</w:t>
      </w:r>
      <w:r w:rsidR="00024819" w:rsidRPr="00763453">
        <w:t xml:space="preserve"> token, if the price of </w:t>
      </w:r>
      <w:r w:rsidR="00A2799C">
        <w:t xml:space="preserve">the </w:t>
      </w:r>
      <w:r w:rsidR="00024819" w:rsidRPr="007147BF">
        <w:rPr>
          <w:i/>
          <w:iCs/>
        </w:rPr>
        <w:t>A</w:t>
      </w:r>
      <w:r w:rsidR="00024819" w:rsidRPr="00763453">
        <w:t xml:space="preserve"> </w:t>
      </w:r>
      <w:r w:rsidR="00A2799C">
        <w:t xml:space="preserve">token </w:t>
      </w:r>
      <w:r w:rsidR="00763453" w:rsidRPr="00763453">
        <w:t>were</w:t>
      </w:r>
      <w:r w:rsidR="00024819" w:rsidRPr="00763453">
        <w:t xml:space="preserve"> to go up, the </w:t>
      </w:r>
      <w:r w:rsidR="00763453" w:rsidRPr="00763453">
        <w:t>Receipt</w:t>
      </w:r>
      <w:r w:rsidR="00024819" w:rsidRPr="00763453">
        <w:t xml:space="preserve"> Token holder alone would benefit from the increased value of the </w:t>
      </w:r>
      <w:r w:rsidR="00024819" w:rsidRPr="007966C1">
        <w:rPr>
          <w:i/>
          <w:iCs/>
        </w:rPr>
        <w:t>A</w:t>
      </w:r>
      <w:r w:rsidR="00845BCB">
        <w:t xml:space="preserve"> token</w:t>
      </w:r>
      <w:r w:rsidR="00024819" w:rsidRPr="00763453">
        <w:t xml:space="preserve"> underlying </w:t>
      </w:r>
      <w:r w:rsidR="008D6E91">
        <w:t xml:space="preserve">the Receipt </w:t>
      </w:r>
      <w:r w:rsidR="00024819" w:rsidRPr="00763453">
        <w:t xml:space="preserve">Token. </w:t>
      </w:r>
      <w:r w:rsidR="007147BF">
        <w:t xml:space="preserve"> </w:t>
      </w:r>
      <w:r w:rsidR="00024819" w:rsidRPr="00763453">
        <w:t xml:space="preserve">And if the price of </w:t>
      </w:r>
      <w:r w:rsidR="00763453" w:rsidRPr="00A2799C">
        <w:rPr>
          <w:i/>
          <w:iCs/>
        </w:rPr>
        <w:t>A</w:t>
      </w:r>
      <w:r w:rsidR="00024819" w:rsidRPr="00763453">
        <w:t xml:space="preserve"> were to fall, </w:t>
      </w:r>
      <w:r w:rsidR="00763453" w:rsidRPr="00763453">
        <w:t>the Receipt Token holder</w:t>
      </w:r>
      <w:r w:rsidR="00024819" w:rsidRPr="00763453">
        <w:t xml:space="preserve"> alone would bear the losses of such decline in the value of the </w:t>
      </w:r>
      <w:r w:rsidR="00763453" w:rsidRPr="00A2799C">
        <w:rPr>
          <w:i/>
          <w:iCs/>
        </w:rPr>
        <w:t>A</w:t>
      </w:r>
      <w:r w:rsidR="00024819" w:rsidRPr="00A2799C">
        <w:rPr>
          <w:i/>
          <w:iCs/>
        </w:rPr>
        <w:t xml:space="preserve"> </w:t>
      </w:r>
      <w:r w:rsidR="005B58F7">
        <w:t xml:space="preserve">token </w:t>
      </w:r>
      <w:r w:rsidR="00024819" w:rsidRPr="00763453">
        <w:t xml:space="preserve">underlying </w:t>
      </w:r>
      <w:r w:rsidR="00763453" w:rsidRPr="00763453">
        <w:t>the</w:t>
      </w:r>
      <w:r w:rsidR="00024819" w:rsidRPr="00763453">
        <w:t xml:space="preserve"> </w:t>
      </w:r>
      <w:r w:rsidR="008D6E91">
        <w:t>Receipt</w:t>
      </w:r>
      <w:r w:rsidR="00024819" w:rsidRPr="00763453">
        <w:t xml:space="preserve"> Token.  Moreover, if there were a failure of the </w:t>
      </w:r>
      <w:r w:rsidR="00763453" w:rsidRPr="00763453">
        <w:t>Alpha Blockchain</w:t>
      </w:r>
      <w:r w:rsidR="00024819" w:rsidRPr="00763453">
        <w:t xml:space="preserve"> or other systems such </w:t>
      </w:r>
      <w:proofErr w:type="gramStart"/>
      <w:r w:rsidR="00024819" w:rsidRPr="00763453">
        <w:t>that</w:t>
      </w:r>
      <w:proofErr w:type="gramEnd"/>
      <w:r w:rsidR="00024819" w:rsidRPr="00763453">
        <w:t xml:space="preserve"> </w:t>
      </w:r>
      <w:r w:rsidR="00763453" w:rsidRPr="00A2799C">
        <w:rPr>
          <w:i/>
          <w:iCs/>
        </w:rPr>
        <w:t>A</w:t>
      </w:r>
      <w:r w:rsidR="00763453" w:rsidRPr="00763453">
        <w:t xml:space="preserve"> was</w:t>
      </w:r>
      <w:r w:rsidR="00024819" w:rsidRPr="00763453">
        <w:t xml:space="preserve"> no longer accessible,</w:t>
      </w:r>
      <w:r w:rsidR="00763453" w:rsidRPr="00763453">
        <w:t xml:space="preserve"> the Receipt Token holder </w:t>
      </w:r>
      <w:r w:rsidR="00024819" w:rsidRPr="00763453">
        <w:t>would bear such los</w:t>
      </w:r>
      <w:r w:rsidR="00763453" w:rsidRPr="00763453">
        <w:t>s and</w:t>
      </w:r>
      <w:r w:rsidR="00024819" w:rsidRPr="00763453">
        <w:t xml:space="preserve"> would have no recourse against any party.</w:t>
      </w:r>
    </w:p>
    <w:p w14:paraId="4B841190" w14:textId="2BB8B409" w:rsidR="00357E07" w:rsidRDefault="00DB508E" w:rsidP="0083290C">
      <w:pPr>
        <w:spacing w:before="0" w:after="160" w:line="360" w:lineRule="auto"/>
        <w:ind w:left="0" w:firstLine="720"/>
        <w:jc w:val="both"/>
      </w:pPr>
      <w:r>
        <w:t xml:space="preserve">The Receipt Token </w:t>
      </w:r>
      <w:r w:rsidR="004204C0">
        <w:t xml:space="preserve">is freely </w:t>
      </w:r>
      <w:r w:rsidR="00024819">
        <w:t>transferable</w:t>
      </w:r>
      <w:r w:rsidR="003A0492">
        <w:t>;</w:t>
      </w:r>
      <w:r w:rsidR="004204C0">
        <w:t xml:space="preserve"> it can be sold or </w:t>
      </w:r>
      <w:proofErr w:type="gramStart"/>
      <w:r w:rsidR="004204C0">
        <w:t>exchanged</w:t>
      </w:r>
      <w:r w:rsidR="00024819">
        <w:t>, or</w:t>
      </w:r>
      <w:proofErr w:type="gramEnd"/>
      <w:r w:rsidR="00024819">
        <w:t xml:space="preserve"> purchased on the open market.</w:t>
      </w:r>
      <w:r w:rsidR="004204C0">
        <w:t xml:space="preserve">  </w:t>
      </w:r>
      <w:r w:rsidR="00365B19">
        <w:t>A</w:t>
      </w:r>
      <w:r w:rsidR="004204C0">
        <w:t xml:space="preserve"> sale or exchange would represent a </w:t>
      </w:r>
      <w:proofErr w:type="gramStart"/>
      <w:r w:rsidR="004204C0">
        <w:t>shifting</w:t>
      </w:r>
      <w:proofErr w:type="gramEnd"/>
      <w:r w:rsidR="004204C0">
        <w:t xml:space="preserve"> </w:t>
      </w:r>
      <w:proofErr w:type="gramStart"/>
      <w:r w:rsidR="00024819">
        <w:t>of</w:t>
      </w:r>
      <w:proofErr w:type="gramEnd"/>
      <w:r w:rsidR="004204C0">
        <w:t xml:space="preserve"> ownership of the underlying </w:t>
      </w:r>
      <w:r w:rsidR="004204C0" w:rsidRPr="00A2799C">
        <w:rPr>
          <w:i/>
          <w:iCs/>
        </w:rPr>
        <w:t>A</w:t>
      </w:r>
      <w:r w:rsidR="004204C0">
        <w:t xml:space="preserve"> tokens.  </w:t>
      </w:r>
      <w:r w:rsidR="00024819">
        <w:t xml:space="preserve">And in each case, the sale or exchange of the underlying A tokens could only be directed or caused by the actions of the Receipt Token holder. </w:t>
      </w:r>
    </w:p>
    <w:p w14:paraId="52C9F697" w14:textId="36D49404" w:rsidR="00DB508E" w:rsidRDefault="004204C0" w:rsidP="0083290C">
      <w:pPr>
        <w:spacing w:before="0" w:after="160" w:line="360" w:lineRule="auto"/>
        <w:ind w:left="0" w:firstLine="720"/>
        <w:jc w:val="both"/>
      </w:pPr>
      <w:r>
        <w:t xml:space="preserve">The </w:t>
      </w:r>
      <w:r w:rsidR="00024819">
        <w:t>Receipt</w:t>
      </w:r>
      <w:r>
        <w:t xml:space="preserve"> </w:t>
      </w:r>
      <w:r w:rsidR="00024819">
        <w:t>Tokens</w:t>
      </w:r>
      <w:r>
        <w:t xml:space="preserve"> can </w:t>
      </w:r>
      <w:r w:rsidR="00024819">
        <w:t>also be</w:t>
      </w:r>
      <w:r>
        <w:t xml:space="preserve"> exchange</w:t>
      </w:r>
      <w:r w:rsidR="00024819">
        <w:t>d</w:t>
      </w:r>
      <w:r>
        <w:t xml:space="preserve"> </w:t>
      </w:r>
      <w:r w:rsidR="00024819">
        <w:t xml:space="preserve">(or redeemed) </w:t>
      </w:r>
      <w:r>
        <w:t xml:space="preserve">for the underlying </w:t>
      </w:r>
      <w:r w:rsidRPr="007966C1">
        <w:rPr>
          <w:i/>
          <w:iCs/>
        </w:rPr>
        <w:t>A</w:t>
      </w:r>
      <w:r w:rsidR="000C2E3B">
        <w:t xml:space="preserve"> tokens</w:t>
      </w:r>
      <w:r w:rsidR="00357E07">
        <w:t xml:space="preserve">.  In the example above, that would mean the token could be redeemed for the locked </w:t>
      </w:r>
      <w:r w:rsidR="00024819">
        <w:t xml:space="preserve">A token </w:t>
      </w:r>
      <w:r w:rsidR="00357E07">
        <w:t xml:space="preserve">on the Alpha </w:t>
      </w:r>
      <w:proofErr w:type="gramStart"/>
      <w:r w:rsidR="00357E07">
        <w:t>blockchain, or</w:t>
      </w:r>
      <w:proofErr w:type="gramEnd"/>
      <w:r w:rsidR="00357E07">
        <w:t xml:space="preserve"> could be redeemed for the </w:t>
      </w:r>
      <w:r w:rsidR="00024819">
        <w:t xml:space="preserve">corresponding </w:t>
      </w:r>
      <w:r w:rsidR="00357E07">
        <w:t xml:space="preserve">A tokens held in the staking pool. </w:t>
      </w:r>
      <w:r w:rsidR="00024819">
        <w:t xml:space="preserve">  </w:t>
      </w:r>
      <w:r w:rsidR="00A2799C">
        <w:t xml:space="preserve">In that light, the minting of a Receipt Token does not itself create any value, any more than </w:t>
      </w:r>
      <w:r w:rsidR="00A2799C">
        <w:lastRenderedPageBreak/>
        <w:t>the printing of a car’s title</w:t>
      </w:r>
      <w:r w:rsidR="003F5529">
        <w:t xml:space="preserve"> creates any more value to the car itself.  It is merely a reflection of ownership – nothing more. </w:t>
      </w:r>
    </w:p>
    <w:p w14:paraId="77ECDEC0" w14:textId="5E10EDA1" w:rsidR="00024819" w:rsidRDefault="00024819" w:rsidP="0083290C">
      <w:pPr>
        <w:spacing w:before="0" w:after="160" w:line="360" w:lineRule="auto"/>
        <w:ind w:left="0" w:firstLine="0"/>
        <w:jc w:val="both"/>
      </w:pPr>
    </w:p>
    <w:p w14:paraId="0E9F8A49" w14:textId="1B1976F1" w:rsidR="0042524F" w:rsidRPr="0083290C" w:rsidRDefault="00593E21" w:rsidP="0083290C">
      <w:pPr>
        <w:spacing w:before="0" w:after="160" w:line="360" w:lineRule="auto"/>
        <w:ind w:left="0" w:firstLine="0"/>
        <w:jc w:val="center"/>
      </w:pPr>
      <w:r w:rsidRPr="00DD447E">
        <w:rPr>
          <w:b/>
          <w:bCs/>
          <w:u w:val="single"/>
        </w:rPr>
        <w:t>Analysis</w:t>
      </w:r>
      <w:r>
        <w:rPr>
          <w:rStyle w:val="FootnoteReference"/>
        </w:rPr>
        <w:footnoteReference w:id="3"/>
      </w:r>
    </w:p>
    <w:p w14:paraId="2E14F246" w14:textId="3A5B5646" w:rsidR="0083290C" w:rsidRPr="00C6000D" w:rsidRDefault="0083290C" w:rsidP="0083290C">
      <w:pPr>
        <w:pBdr>
          <w:top w:val="nil"/>
          <w:left w:val="nil"/>
          <w:bottom w:val="nil"/>
          <w:right w:val="nil"/>
          <w:between w:val="nil"/>
        </w:pBdr>
        <w:spacing w:before="0" w:after="160" w:line="360" w:lineRule="auto"/>
        <w:ind w:left="0" w:firstLine="720"/>
        <w:jc w:val="both"/>
        <w:rPr>
          <w:rFonts w:cs="Calibri"/>
        </w:rPr>
      </w:pPr>
      <w:r w:rsidRPr="00C6000D">
        <w:t xml:space="preserve">The wrapping of a crypto-asset should not result in a taxable event under current U.S. </w:t>
      </w:r>
      <w:r w:rsidRPr="00C6000D">
        <w:rPr>
          <w:rFonts w:cs="Calibri"/>
        </w:rPr>
        <w:t>federal income tax law.</w:t>
      </w:r>
    </w:p>
    <w:p w14:paraId="577B7F11" w14:textId="5266B295" w:rsidR="00C6000D" w:rsidRPr="00C6000D" w:rsidRDefault="00C6000D" w:rsidP="00C6000D">
      <w:pPr>
        <w:pStyle w:val="ListParagraph"/>
        <w:numPr>
          <w:ilvl w:val="0"/>
          <w:numId w:val="1"/>
        </w:numPr>
        <w:pBdr>
          <w:top w:val="nil"/>
          <w:left w:val="nil"/>
          <w:bottom w:val="nil"/>
          <w:right w:val="nil"/>
          <w:between w:val="nil"/>
        </w:pBdr>
        <w:spacing w:line="360" w:lineRule="auto"/>
        <w:jc w:val="both"/>
        <w:rPr>
          <w:rFonts w:ascii="Calibri" w:hAnsi="Calibri" w:cs="Calibri"/>
          <w:color w:val="000000"/>
          <w:sz w:val="24"/>
          <w:szCs w:val="24"/>
        </w:rPr>
      </w:pPr>
      <w:r w:rsidRPr="00C6000D">
        <w:rPr>
          <w:rFonts w:ascii="Calibri" w:hAnsi="Calibri" w:cs="Calibri"/>
          <w:i/>
          <w:iCs/>
          <w:color w:val="000000"/>
          <w:sz w:val="24"/>
          <w:szCs w:val="24"/>
        </w:rPr>
        <w:t>Threshold Matters</w:t>
      </w:r>
      <w:r w:rsidRPr="00C6000D">
        <w:rPr>
          <w:rFonts w:ascii="Calibri" w:hAnsi="Calibri" w:cs="Calibri"/>
          <w:color w:val="000000"/>
          <w:sz w:val="24"/>
          <w:szCs w:val="24"/>
        </w:rPr>
        <w:t xml:space="preserve">. </w:t>
      </w:r>
    </w:p>
    <w:p w14:paraId="289B39DE" w14:textId="13D2E8D6" w:rsidR="009C6D69" w:rsidRPr="00C6000D" w:rsidRDefault="00C6000D" w:rsidP="00532A2C">
      <w:pPr>
        <w:pBdr>
          <w:top w:val="nil"/>
          <w:left w:val="nil"/>
          <w:bottom w:val="nil"/>
          <w:right w:val="nil"/>
          <w:between w:val="nil"/>
        </w:pBdr>
        <w:spacing w:before="0" w:after="160" w:line="360" w:lineRule="auto"/>
        <w:ind w:left="0" w:firstLine="720"/>
        <w:jc w:val="both"/>
        <w:rPr>
          <w:color w:val="000000"/>
        </w:rPr>
      </w:pPr>
      <w:r>
        <w:rPr>
          <w:rFonts w:cs="Calibri"/>
          <w:color w:val="000000"/>
        </w:rPr>
        <w:t>W</w:t>
      </w:r>
      <w:r w:rsidR="0083290C" w:rsidRPr="00C6000D">
        <w:rPr>
          <w:rFonts w:cs="Calibri"/>
          <w:color w:val="000000"/>
        </w:rPr>
        <w:t>e first look at which tax rules apply generally to crypto-assets.  T</w:t>
      </w:r>
      <w:r w:rsidR="0042524F" w:rsidRPr="00C6000D">
        <w:rPr>
          <w:rFonts w:cs="Calibri"/>
          <w:color w:val="000000"/>
        </w:rPr>
        <w:t xml:space="preserve">he </w:t>
      </w:r>
      <w:r w:rsidR="001E51BC">
        <w:rPr>
          <w:rFonts w:cs="Calibri"/>
          <w:color w:val="000000"/>
        </w:rPr>
        <w:t>IRS</w:t>
      </w:r>
      <w:r w:rsidR="0042524F" w:rsidRPr="00C6000D">
        <w:rPr>
          <w:rFonts w:cs="Calibri"/>
          <w:color w:val="000000"/>
        </w:rPr>
        <w:t xml:space="preserve"> </w:t>
      </w:r>
      <w:r w:rsidR="00275ECE" w:rsidRPr="00C6000D">
        <w:rPr>
          <w:rFonts w:cs="Calibri"/>
          <w:color w:val="000000"/>
        </w:rPr>
        <w:t>has consistently treated</w:t>
      </w:r>
      <w:r w:rsidR="0042524F" w:rsidRPr="00C6000D">
        <w:rPr>
          <w:rFonts w:cs="Calibri"/>
          <w:color w:val="000000"/>
        </w:rPr>
        <w:t xml:space="preserve"> crypto-assets as property</w:t>
      </w:r>
      <w:r w:rsidR="00275ECE" w:rsidRPr="00C6000D">
        <w:rPr>
          <w:rFonts w:cs="Calibri"/>
          <w:color w:val="000000"/>
        </w:rPr>
        <w:t xml:space="preserve"> for all applicable tax purposes</w:t>
      </w:r>
      <w:r w:rsidR="00275ECE" w:rsidRPr="00C6000D">
        <w:rPr>
          <w:color w:val="000000"/>
        </w:rPr>
        <w:t>.</w:t>
      </w:r>
      <w:r w:rsidR="00275ECE" w:rsidRPr="00C6000D">
        <w:rPr>
          <w:rStyle w:val="FootnoteReference"/>
          <w:color w:val="000000"/>
        </w:rPr>
        <w:footnoteReference w:id="4"/>
      </w:r>
      <w:r w:rsidR="0042524F" w:rsidRPr="00C6000D">
        <w:rPr>
          <w:color w:val="000000"/>
        </w:rPr>
        <w:t xml:space="preserve">  That is,</w:t>
      </w:r>
      <w:r w:rsidR="00BE7C1A">
        <w:rPr>
          <w:color w:val="000000"/>
        </w:rPr>
        <w:t xml:space="preserve"> for the purposes of U.S. </w:t>
      </w:r>
      <w:r w:rsidR="00FE03FF">
        <w:rPr>
          <w:color w:val="000000"/>
        </w:rPr>
        <w:t>tax law,</w:t>
      </w:r>
      <w:r w:rsidR="00275ECE" w:rsidRPr="00C6000D">
        <w:rPr>
          <w:color w:val="000000"/>
        </w:rPr>
        <w:t xml:space="preserve"> </w:t>
      </w:r>
      <w:r w:rsidR="00D923D2">
        <w:rPr>
          <w:color w:val="000000"/>
        </w:rPr>
        <w:t xml:space="preserve">crypto-assets are </w:t>
      </w:r>
      <w:r w:rsidR="00275ECE" w:rsidRPr="00C6000D">
        <w:rPr>
          <w:color w:val="000000"/>
        </w:rPr>
        <w:t xml:space="preserve">not currency and </w:t>
      </w:r>
      <w:r w:rsidR="00FE03FF">
        <w:rPr>
          <w:color w:val="000000"/>
        </w:rPr>
        <w:t xml:space="preserve">therefore are </w:t>
      </w:r>
      <w:r w:rsidR="00275ECE" w:rsidRPr="00C6000D">
        <w:rPr>
          <w:color w:val="000000"/>
        </w:rPr>
        <w:t xml:space="preserve">not subject to the special </w:t>
      </w:r>
      <w:r w:rsidR="00E65E63">
        <w:rPr>
          <w:color w:val="000000"/>
        </w:rPr>
        <w:t xml:space="preserve">tax </w:t>
      </w:r>
      <w:r w:rsidR="00275ECE" w:rsidRPr="00C6000D">
        <w:rPr>
          <w:color w:val="000000"/>
        </w:rPr>
        <w:t xml:space="preserve">rules for currency. </w:t>
      </w:r>
      <w:r w:rsidR="0083290C" w:rsidRPr="00C6000D">
        <w:rPr>
          <w:color w:val="000000"/>
        </w:rPr>
        <w:t xml:space="preserve"> Thus, we must look </w:t>
      </w:r>
      <w:proofErr w:type="gramStart"/>
      <w:r w:rsidR="0083290C" w:rsidRPr="00C6000D">
        <w:rPr>
          <w:color w:val="000000"/>
        </w:rPr>
        <w:t>to</w:t>
      </w:r>
      <w:proofErr w:type="gramEnd"/>
      <w:r w:rsidR="0083290C" w:rsidRPr="00C6000D">
        <w:rPr>
          <w:color w:val="000000"/>
        </w:rPr>
        <w:t xml:space="preserve"> the generally applicable rules for property to determine whether wrapping causes a taxable event.</w:t>
      </w:r>
      <w:r w:rsidR="009C6D69" w:rsidRPr="00C6000D">
        <w:rPr>
          <w:color w:val="000000"/>
        </w:rPr>
        <w:t xml:space="preserve">  </w:t>
      </w:r>
    </w:p>
    <w:p w14:paraId="61CE0963" w14:textId="4DE8D2E8" w:rsidR="00532A2C" w:rsidRPr="007A3366" w:rsidRDefault="00CE667E" w:rsidP="009C6D69">
      <w:pPr>
        <w:pBdr>
          <w:top w:val="nil"/>
          <w:left w:val="nil"/>
          <w:bottom w:val="nil"/>
          <w:right w:val="nil"/>
          <w:between w:val="nil"/>
        </w:pBdr>
        <w:spacing w:before="0" w:after="160" w:line="360" w:lineRule="auto"/>
        <w:ind w:left="0" w:firstLine="720"/>
        <w:jc w:val="both"/>
        <w:rPr>
          <w:rFonts w:cs="Calibri"/>
          <w:color w:val="000000"/>
        </w:rPr>
      </w:pPr>
      <w:r w:rsidRPr="00C6000D">
        <w:rPr>
          <w:color w:val="000000"/>
        </w:rPr>
        <w:t xml:space="preserve">Under general U.S. tax </w:t>
      </w:r>
      <w:r w:rsidR="0042524F" w:rsidRPr="00C6000D">
        <w:rPr>
          <w:color w:val="000000"/>
        </w:rPr>
        <w:t>rules</w:t>
      </w:r>
      <w:r w:rsidRPr="00C6000D">
        <w:rPr>
          <w:color w:val="000000"/>
        </w:rPr>
        <w:t xml:space="preserve">, </w:t>
      </w:r>
      <w:r w:rsidR="009C6D69" w:rsidRPr="00C6000D">
        <w:rPr>
          <w:color w:val="000000"/>
        </w:rPr>
        <w:t>a taxable event occurs when</w:t>
      </w:r>
      <w:r w:rsidR="002B23B5" w:rsidRPr="00C6000D">
        <w:rPr>
          <w:color w:val="000000"/>
        </w:rPr>
        <w:t xml:space="preserve"> there is a</w:t>
      </w:r>
      <w:r w:rsidR="00E65E63">
        <w:rPr>
          <w:color w:val="000000"/>
        </w:rPr>
        <w:t xml:space="preserve"> sale or other disposition</w:t>
      </w:r>
      <w:r w:rsidR="009B3FDA">
        <w:rPr>
          <w:color w:val="000000"/>
        </w:rPr>
        <w:t xml:space="preserve"> (referred to here as a</w:t>
      </w:r>
      <w:r w:rsidR="002B23B5" w:rsidRPr="00C6000D">
        <w:rPr>
          <w:color w:val="000000"/>
        </w:rPr>
        <w:t xml:space="preserve">n </w:t>
      </w:r>
      <w:r w:rsidR="009B3FDA">
        <w:rPr>
          <w:color w:val="000000"/>
        </w:rPr>
        <w:t>“</w:t>
      </w:r>
      <w:r w:rsidR="002B23B5" w:rsidRPr="00C6000D">
        <w:rPr>
          <w:color w:val="000000"/>
        </w:rPr>
        <w:t>exchange</w:t>
      </w:r>
      <w:r w:rsidR="009B3FDA">
        <w:rPr>
          <w:color w:val="000000"/>
        </w:rPr>
        <w:t>”)</w:t>
      </w:r>
      <w:r w:rsidR="002B23B5" w:rsidRPr="00C6000D">
        <w:rPr>
          <w:color w:val="000000"/>
        </w:rPr>
        <w:t xml:space="preserve"> of property</w:t>
      </w:r>
      <w:r w:rsidR="009B3FDA">
        <w:rPr>
          <w:color w:val="000000"/>
        </w:rPr>
        <w:t xml:space="preserve"> in consideration</w:t>
      </w:r>
      <w:r w:rsidR="0042524F" w:rsidRPr="00C6000D">
        <w:rPr>
          <w:color w:val="000000"/>
        </w:rPr>
        <w:t xml:space="preserve"> for cash or for other </w:t>
      </w:r>
      <w:r w:rsidR="0083290C" w:rsidRPr="00C6000D">
        <w:rPr>
          <w:color w:val="000000"/>
        </w:rPr>
        <w:t xml:space="preserve">property </w:t>
      </w:r>
      <w:r w:rsidR="00A47B35">
        <w:rPr>
          <w:color w:val="000000"/>
        </w:rPr>
        <w:t xml:space="preserve">that is </w:t>
      </w:r>
      <w:r w:rsidR="0083290C" w:rsidRPr="00C6000D">
        <w:rPr>
          <w:color w:val="000000"/>
        </w:rPr>
        <w:t>materially different in like or kind</w:t>
      </w:r>
      <w:r w:rsidR="00A47B35">
        <w:rPr>
          <w:color w:val="000000"/>
        </w:rPr>
        <w:t xml:space="preserve"> from the </w:t>
      </w:r>
      <w:r w:rsidR="005603F4">
        <w:rPr>
          <w:color w:val="000000"/>
        </w:rPr>
        <w:t>exchanged property</w:t>
      </w:r>
      <w:r w:rsidR="009C6D69" w:rsidRPr="00C6000D">
        <w:rPr>
          <w:color w:val="000000"/>
        </w:rPr>
        <w:t>.</w:t>
      </w:r>
      <w:r w:rsidR="00FC4C93">
        <w:rPr>
          <w:rStyle w:val="FootnoteReference"/>
          <w:color w:val="000000"/>
        </w:rPr>
        <w:footnoteReference w:id="5"/>
      </w:r>
      <w:r w:rsidR="00532A2C" w:rsidRPr="00C6000D">
        <w:rPr>
          <w:color w:val="000000"/>
        </w:rPr>
        <w:t xml:space="preserve">  There </w:t>
      </w:r>
      <w:r w:rsidR="00C6000D" w:rsidRPr="00C6000D">
        <w:rPr>
          <w:color w:val="000000"/>
        </w:rPr>
        <w:t xml:space="preserve">are two separate prongs to this analysis.  First, we must consider whether </w:t>
      </w:r>
      <w:r w:rsidR="00C6000D" w:rsidRPr="007A3366">
        <w:rPr>
          <w:rFonts w:cs="Calibri"/>
          <w:color w:val="000000"/>
        </w:rPr>
        <w:t xml:space="preserve">wrapping is an exchange at all.  </w:t>
      </w:r>
      <w:r w:rsidR="005603F4">
        <w:rPr>
          <w:rFonts w:cs="Calibri"/>
          <w:color w:val="000000"/>
        </w:rPr>
        <w:t>S</w:t>
      </w:r>
      <w:r w:rsidR="00C6000D" w:rsidRPr="007A3366">
        <w:rPr>
          <w:rFonts w:cs="Calibri"/>
          <w:color w:val="000000"/>
        </w:rPr>
        <w:t xml:space="preserve">econd, we must consider whether, if it is deemed to be an exchange, wrapping is an exchange for </w:t>
      </w:r>
      <w:r w:rsidR="00EB3088" w:rsidRPr="007A3366">
        <w:rPr>
          <w:rFonts w:cs="Calibri"/>
          <w:color w:val="000000"/>
        </w:rPr>
        <w:t>property</w:t>
      </w:r>
      <w:r w:rsidR="00C6000D" w:rsidRPr="007A3366">
        <w:rPr>
          <w:rFonts w:cs="Calibri"/>
          <w:color w:val="000000"/>
        </w:rPr>
        <w:t xml:space="preserve"> materially different in like or kind</w:t>
      </w:r>
      <w:r w:rsidR="00EB3088" w:rsidRPr="007A3366">
        <w:rPr>
          <w:rFonts w:cs="Calibri"/>
          <w:color w:val="000000"/>
        </w:rPr>
        <w:t>.</w:t>
      </w:r>
    </w:p>
    <w:p w14:paraId="304AA13D" w14:textId="493EDED9" w:rsidR="00532A2C" w:rsidRPr="007A3366" w:rsidRDefault="00EB3088" w:rsidP="007966C1">
      <w:pPr>
        <w:pStyle w:val="ListParagraph"/>
        <w:keepNext/>
        <w:numPr>
          <w:ilvl w:val="0"/>
          <w:numId w:val="1"/>
        </w:numPr>
        <w:pBdr>
          <w:top w:val="nil"/>
          <w:left w:val="nil"/>
          <w:bottom w:val="nil"/>
          <w:right w:val="nil"/>
          <w:between w:val="nil"/>
        </w:pBdr>
        <w:spacing w:line="360" w:lineRule="auto"/>
        <w:jc w:val="both"/>
        <w:rPr>
          <w:rFonts w:ascii="Calibri" w:hAnsi="Calibri" w:cs="Calibri"/>
          <w:color w:val="000000"/>
          <w:sz w:val="24"/>
          <w:szCs w:val="24"/>
        </w:rPr>
      </w:pPr>
      <w:r w:rsidRPr="007A3366">
        <w:rPr>
          <w:rFonts w:ascii="Calibri" w:hAnsi="Calibri" w:cs="Calibri"/>
          <w:i/>
          <w:iCs/>
          <w:color w:val="000000"/>
          <w:sz w:val="24"/>
          <w:szCs w:val="24"/>
        </w:rPr>
        <w:t>Wrapping is Not an Exchange for Tax Purposes</w:t>
      </w:r>
      <w:r w:rsidRPr="007A3366">
        <w:rPr>
          <w:rFonts w:ascii="Calibri" w:hAnsi="Calibri" w:cs="Calibri"/>
          <w:color w:val="000000"/>
          <w:sz w:val="24"/>
          <w:szCs w:val="24"/>
        </w:rPr>
        <w:t>.</w:t>
      </w:r>
    </w:p>
    <w:p w14:paraId="6AFF345B" w14:textId="703E499F" w:rsidR="009C6D69" w:rsidRDefault="00450230" w:rsidP="007D7625">
      <w:pPr>
        <w:pBdr>
          <w:top w:val="nil"/>
          <w:left w:val="nil"/>
          <w:bottom w:val="nil"/>
          <w:right w:val="nil"/>
          <w:between w:val="nil"/>
        </w:pBdr>
        <w:spacing w:before="0" w:after="160" w:line="360" w:lineRule="auto"/>
        <w:ind w:left="0" w:firstLine="720"/>
        <w:jc w:val="both"/>
        <w:rPr>
          <w:color w:val="000000"/>
        </w:rPr>
      </w:pPr>
      <w:r>
        <w:rPr>
          <w:color w:val="000000"/>
        </w:rPr>
        <w:t>T</w:t>
      </w:r>
      <w:r w:rsidRPr="005E5EC1">
        <w:rPr>
          <w:color w:val="000000"/>
        </w:rPr>
        <w:t xml:space="preserve">he </w:t>
      </w:r>
      <w:r w:rsidR="007147BF">
        <w:rPr>
          <w:color w:val="000000"/>
        </w:rPr>
        <w:t>U.S. Internal Revenue Service</w:t>
      </w:r>
      <w:r>
        <w:rPr>
          <w:color w:val="000000"/>
        </w:rPr>
        <w:t xml:space="preserve"> has</w:t>
      </w:r>
      <w:r w:rsidR="007147BF">
        <w:rPr>
          <w:color w:val="000000"/>
        </w:rPr>
        <w:t>, in published guidance,</w:t>
      </w:r>
      <w:r w:rsidRPr="005E5EC1">
        <w:rPr>
          <w:color w:val="000000"/>
        </w:rPr>
        <w:t xml:space="preserve"> </w:t>
      </w:r>
      <w:r w:rsidR="00FF1B3E">
        <w:rPr>
          <w:color w:val="000000"/>
        </w:rPr>
        <w:t>stated</w:t>
      </w:r>
      <w:r w:rsidR="00330F0B">
        <w:rPr>
          <w:color w:val="000000"/>
        </w:rPr>
        <w:t xml:space="preserve"> that the owner of property for tax purposes is the person who </w:t>
      </w:r>
      <w:r w:rsidRPr="005E5EC1">
        <w:rPr>
          <w:color w:val="000000"/>
        </w:rPr>
        <w:t xml:space="preserve">bears the </w:t>
      </w:r>
      <w:r w:rsidRPr="007147BF">
        <w:rPr>
          <w:i/>
          <w:iCs/>
          <w:color w:val="000000"/>
        </w:rPr>
        <w:t>economic burdens and benefits of ownership</w:t>
      </w:r>
      <w:r w:rsidRPr="005E5EC1">
        <w:rPr>
          <w:color w:val="000000"/>
        </w:rPr>
        <w:t xml:space="preserve"> </w:t>
      </w:r>
      <w:r w:rsidR="007D7625">
        <w:rPr>
          <w:color w:val="000000"/>
        </w:rPr>
        <w:t>of that property.</w:t>
      </w:r>
      <w:r>
        <w:rPr>
          <w:rStyle w:val="FootnoteReference"/>
          <w:color w:val="000000"/>
        </w:rPr>
        <w:footnoteReference w:id="6"/>
      </w:r>
      <w:r w:rsidR="007A3366">
        <w:rPr>
          <w:color w:val="000000"/>
        </w:rPr>
        <w:t xml:space="preserve"> Thus, for there to be an exchange</w:t>
      </w:r>
      <w:r w:rsidR="00D918F8">
        <w:rPr>
          <w:color w:val="000000"/>
        </w:rPr>
        <w:t xml:space="preserve"> of property</w:t>
      </w:r>
      <w:r w:rsidR="007D7625">
        <w:rPr>
          <w:color w:val="000000"/>
        </w:rPr>
        <w:t xml:space="preserve"> in the first instance</w:t>
      </w:r>
      <w:r w:rsidR="007A3366">
        <w:rPr>
          <w:color w:val="000000"/>
        </w:rPr>
        <w:t xml:space="preserve">, </w:t>
      </w:r>
      <w:r w:rsidR="00B64411">
        <w:rPr>
          <w:color w:val="000000"/>
        </w:rPr>
        <w:t>a person must</w:t>
      </w:r>
      <w:r w:rsidR="007A3366">
        <w:rPr>
          <w:color w:val="000000"/>
        </w:rPr>
        <w:t xml:space="preserve"> transfer the economic burdens and benefits of ownership </w:t>
      </w:r>
      <w:r w:rsidR="00B64411">
        <w:rPr>
          <w:color w:val="000000"/>
        </w:rPr>
        <w:t>of their property</w:t>
      </w:r>
      <w:r w:rsidR="00021D4B">
        <w:rPr>
          <w:color w:val="000000"/>
        </w:rPr>
        <w:t xml:space="preserve"> </w:t>
      </w:r>
      <w:r w:rsidR="007A3366">
        <w:rPr>
          <w:color w:val="000000"/>
        </w:rPr>
        <w:t>to another person.  (</w:t>
      </w:r>
      <w:r w:rsidR="007B51CD">
        <w:rPr>
          <w:color w:val="000000"/>
        </w:rPr>
        <w:t>For this purpose, the term “</w:t>
      </w:r>
      <w:r w:rsidR="007A3366">
        <w:rPr>
          <w:color w:val="000000"/>
        </w:rPr>
        <w:t>person</w:t>
      </w:r>
      <w:r w:rsidR="007B51CD">
        <w:rPr>
          <w:color w:val="000000"/>
        </w:rPr>
        <w:t>” is broad, it</w:t>
      </w:r>
      <w:r w:rsidR="007A3366">
        <w:rPr>
          <w:color w:val="000000"/>
        </w:rPr>
        <w:t xml:space="preserve"> could be a</w:t>
      </w:r>
      <w:r w:rsidR="00B64411">
        <w:rPr>
          <w:color w:val="000000"/>
        </w:rPr>
        <w:t>n</w:t>
      </w:r>
      <w:r w:rsidR="00D918F8">
        <w:rPr>
          <w:color w:val="000000"/>
        </w:rPr>
        <w:t xml:space="preserve"> </w:t>
      </w:r>
      <w:r w:rsidR="007B51CD">
        <w:rPr>
          <w:color w:val="000000"/>
        </w:rPr>
        <w:t xml:space="preserve">individual, a corporation, or any other taxpayer). </w:t>
      </w:r>
      <w:r w:rsidRPr="005E5EC1">
        <w:rPr>
          <w:color w:val="000000"/>
        </w:rPr>
        <w:t xml:space="preserve"> </w:t>
      </w:r>
      <w:r w:rsidR="007A3366">
        <w:rPr>
          <w:color w:val="000000"/>
        </w:rPr>
        <w:t>Courts look to many factors in making this determination</w:t>
      </w:r>
      <w:r w:rsidR="007B51CD">
        <w:rPr>
          <w:color w:val="000000"/>
        </w:rPr>
        <w:t xml:space="preserve">, but </w:t>
      </w:r>
      <w:r w:rsidR="00D918F8">
        <w:rPr>
          <w:color w:val="000000"/>
        </w:rPr>
        <w:t>they</w:t>
      </w:r>
      <w:r w:rsidR="007B51CD">
        <w:rPr>
          <w:color w:val="000000"/>
        </w:rPr>
        <w:t xml:space="preserve"> generally consider</w:t>
      </w:r>
      <w:r w:rsidRPr="005E5EC1">
        <w:rPr>
          <w:color w:val="000000"/>
        </w:rPr>
        <w:t>:</w:t>
      </w:r>
      <w:r>
        <w:rPr>
          <w:color w:val="000000"/>
        </w:rPr>
        <w:t xml:space="preserve"> </w:t>
      </w:r>
      <w:r w:rsidRPr="005E5EC1">
        <w:rPr>
          <w:color w:val="000000"/>
        </w:rPr>
        <w:t xml:space="preserve"> (i) the parties’ intent</w:t>
      </w:r>
      <w:r w:rsidR="00D918F8">
        <w:rPr>
          <w:color w:val="000000"/>
        </w:rPr>
        <w:t xml:space="preserve"> (</w:t>
      </w:r>
      <w:r w:rsidR="00D918F8" w:rsidRPr="00E94406">
        <w:rPr>
          <w:i/>
          <w:iCs/>
          <w:color w:val="000000"/>
        </w:rPr>
        <w:t>e.g.</w:t>
      </w:r>
      <w:r w:rsidR="00D918F8">
        <w:rPr>
          <w:color w:val="000000"/>
        </w:rPr>
        <w:t xml:space="preserve">, whether the parties intended to </w:t>
      </w:r>
      <w:r w:rsidR="002B5A3B">
        <w:rPr>
          <w:color w:val="000000"/>
        </w:rPr>
        <w:t>make an exchange or if one party wanted to lend property to another)</w:t>
      </w:r>
      <w:r w:rsidRPr="005E5EC1">
        <w:rPr>
          <w:color w:val="000000"/>
        </w:rPr>
        <w:t>; (ii) which party is entitled to profits from the use of the property; (iii) which party bears the risk of loss; (iv) the extent of control, if any, afforded to a purported purchaser</w:t>
      </w:r>
      <w:r w:rsidR="009310EB">
        <w:rPr>
          <w:color w:val="000000"/>
        </w:rPr>
        <w:t xml:space="preserve"> of the property</w:t>
      </w:r>
      <w:r w:rsidRPr="005E5EC1">
        <w:rPr>
          <w:color w:val="000000"/>
        </w:rPr>
        <w:t>; (v) which party has the rights of possession and use of the property; (vi) which party is liable for taxes</w:t>
      </w:r>
      <w:r w:rsidR="009310EB">
        <w:rPr>
          <w:color w:val="000000"/>
        </w:rPr>
        <w:t xml:space="preserve"> </w:t>
      </w:r>
      <w:r w:rsidR="00DD3708">
        <w:rPr>
          <w:color w:val="000000"/>
        </w:rPr>
        <w:t>on the property, if any</w:t>
      </w:r>
      <w:r w:rsidRPr="005E5EC1">
        <w:rPr>
          <w:color w:val="000000"/>
        </w:rPr>
        <w:t>; and (vii) which party pays for the property.</w:t>
      </w:r>
      <w:r>
        <w:rPr>
          <w:rStyle w:val="FootnoteReference"/>
          <w:color w:val="000000"/>
        </w:rPr>
        <w:footnoteReference w:id="7"/>
      </w:r>
      <w:r>
        <w:rPr>
          <w:color w:val="000000"/>
        </w:rPr>
        <w:t xml:space="preserve">  </w:t>
      </w:r>
    </w:p>
    <w:p w14:paraId="209FE438" w14:textId="57664294" w:rsidR="00450230" w:rsidRDefault="00450230" w:rsidP="0083290C">
      <w:pPr>
        <w:pBdr>
          <w:top w:val="nil"/>
          <w:left w:val="nil"/>
          <w:bottom w:val="nil"/>
          <w:right w:val="nil"/>
          <w:between w:val="nil"/>
        </w:pBdr>
        <w:spacing w:before="0" w:after="160" w:line="360" w:lineRule="auto"/>
        <w:ind w:left="0" w:firstLine="720"/>
        <w:jc w:val="both"/>
        <w:rPr>
          <w:color w:val="000000"/>
        </w:rPr>
      </w:pPr>
      <w:r w:rsidRPr="00256CB0">
        <w:rPr>
          <w:color w:val="000000"/>
        </w:rPr>
        <w:t xml:space="preserve">To that end, </w:t>
      </w:r>
      <w:r w:rsidR="007B51CD">
        <w:rPr>
          <w:color w:val="000000"/>
        </w:rPr>
        <w:t>Receipt</w:t>
      </w:r>
      <w:r>
        <w:rPr>
          <w:color w:val="000000"/>
        </w:rPr>
        <w:t xml:space="preserve"> Tokens</w:t>
      </w:r>
      <w:r w:rsidRPr="00256CB0">
        <w:rPr>
          <w:color w:val="000000"/>
        </w:rPr>
        <w:t xml:space="preserve"> function like other “receipts” (</w:t>
      </w:r>
      <w:r w:rsidRPr="007B51CD">
        <w:rPr>
          <w:i/>
          <w:iCs/>
          <w:color w:val="000000"/>
        </w:rPr>
        <w:t>i.e.</w:t>
      </w:r>
      <w:r w:rsidRPr="00256CB0">
        <w:rPr>
          <w:color w:val="000000"/>
        </w:rPr>
        <w:t xml:space="preserve">, documents </w:t>
      </w:r>
      <w:r>
        <w:rPr>
          <w:color w:val="000000"/>
        </w:rPr>
        <w:t>that represent</w:t>
      </w:r>
      <w:r w:rsidRPr="00256CB0">
        <w:rPr>
          <w:color w:val="000000"/>
        </w:rPr>
        <w:t xml:space="preserve"> title), such as a bill of lading, an American depositary receipt (“ADR”), or a coat check ticket</w:t>
      </w:r>
      <w:r>
        <w:rPr>
          <w:color w:val="000000"/>
        </w:rPr>
        <w:t xml:space="preserve">.   A bill of lading functions as a receipt for shipping goods and does not evidence or effect a sale or other disposition of property.  </w:t>
      </w:r>
      <w:r w:rsidRPr="00FF30F7">
        <w:rPr>
          <w:color w:val="000000"/>
        </w:rPr>
        <w:t>An ADR is a receipt issued by a custodian, usually a bank, representing rights to a deposited asset (often stock in a foreign corporation) that would be difficult for a U.S. person to hold directly.</w:t>
      </w:r>
      <w:r>
        <w:rPr>
          <w:color w:val="000000"/>
        </w:rPr>
        <w:t xml:space="preserve"> </w:t>
      </w:r>
      <w:r w:rsidRPr="00FF30F7">
        <w:rPr>
          <w:color w:val="000000"/>
        </w:rPr>
        <w:t xml:space="preserve"> The holder of an ADR may redeem it for the underlying asset at any time, and the bank or custodian may not dispose of the underlying asset. </w:t>
      </w:r>
      <w:r>
        <w:rPr>
          <w:color w:val="000000"/>
        </w:rPr>
        <w:t xml:space="preserve"> </w:t>
      </w:r>
      <w:r w:rsidR="00F55A48">
        <w:rPr>
          <w:color w:val="000000"/>
        </w:rPr>
        <w:t>And under IRS guidance, the owner</w:t>
      </w:r>
      <w:r w:rsidRPr="00F9756F">
        <w:rPr>
          <w:color w:val="000000"/>
        </w:rPr>
        <w:t xml:space="preserve"> ADR is treated </w:t>
      </w:r>
      <w:r w:rsidRPr="00F55A48">
        <w:rPr>
          <w:i/>
          <w:iCs/>
          <w:color w:val="000000"/>
        </w:rPr>
        <w:t>as the owner of the underlying asset</w:t>
      </w:r>
      <w:r w:rsidRPr="00F9756F">
        <w:rPr>
          <w:color w:val="000000"/>
        </w:rPr>
        <w:t xml:space="preserve"> for tax purposes.</w:t>
      </w:r>
      <w:r>
        <w:rPr>
          <w:rStyle w:val="FootnoteReference"/>
          <w:color w:val="000000"/>
        </w:rPr>
        <w:footnoteReference w:id="8"/>
      </w:r>
      <w:r>
        <w:rPr>
          <w:color w:val="000000"/>
        </w:rPr>
        <w:t xml:space="preserve">   A coat check ticket would be analyzed under the same reasoning. </w:t>
      </w:r>
      <w:r w:rsidR="00F60E7A">
        <w:rPr>
          <w:color w:val="000000"/>
        </w:rPr>
        <w:t xml:space="preserve"> </w:t>
      </w:r>
      <w:r w:rsidRPr="00F9756F">
        <w:rPr>
          <w:color w:val="000000"/>
        </w:rPr>
        <w:t>And thus, the issuance (or redemption) of an ADR</w:t>
      </w:r>
      <w:r w:rsidR="0069379D">
        <w:rPr>
          <w:color w:val="000000"/>
        </w:rPr>
        <w:t xml:space="preserve"> or a coat check ticket</w:t>
      </w:r>
      <w:r w:rsidRPr="00F9756F">
        <w:rPr>
          <w:color w:val="000000"/>
        </w:rPr>
        <w:t xml:space="preserve"> is not a sale or </w:t>
      </w:r>
      <w:r>
        <w:rPr>
          <w:color w:val="000000"/>
        </w:rPr>
        <w:t>disposition</w:t>
      </w:r>
      <w:r w:rsidR="0069379D">
        <w:rPr>
          <w:color w:val="000000"/>
        </w:rPr>
        <w:t xml:space="preserve"> of the property represented by the ADR or coat check ticket</w:t>
      </w:r>
      <w:r w:rsidRPr="00F9756F">
        <w:rPr>
          <w:color w:val="000000"/>
        </w:rPr>
        <w:t>.</w:t>
      </w:r>
      <w:r>
        <w:rPr>
          <w:color w:val="000000"/>
        </w:rPr>
        <w:t xml:space="preserve">   </w:t>
      </w:r>
    </w:p>
    <w:p w14:paraId="06C9E2F3" w14:textId="0B205FE4" w:rsidR="00EB3088" w:rsidRDefault="00450230" w:rsidP="00CC6E0C">
      <w:pPr>
        <w:pBdr>
          <w:top w:val="nil"/>
          <w:left w:val="nil"/>
          <w:bottom w:val="nil"/>
          <w:right w:val="nil"/>
          <w:between w:val="nil"/>
        </w:pBdr>
        <w:spacing w:before="0" w:after="160" w:line="360" w:lineRule="auto"/>
        <w:ind w:left="0" w:firstLine="720"/>
        <w:jc w:val="both"/>
        <w:rPr>
          <w:color w:val="000000"/>
        </w:rPr>
      </w:pPr>
      <w:r w:rsidRPr="00783A69">
        <w:rPr>
          <w:color w:val="000000"/>
        </w:rPr>
        <w:t xml:space="preserve">This analysis applies squarely in the context of </w:t>
      </w:r>
      <w:r w:rsidR="00B42753" w:rsidRPr="00783A69">
        <w:rPr>
          <w:color w:val="000000"/>
        </w:rPr>
        <w:t xml:space="preserve">Receipt </w:t>
      </w:r>
      <w:r w:rsidRPr="00783A69">
        <w:rPr>
          <w:color w:val="000000"/>
        </w:rPr>
        <w:t xml:space="preserve">Tokens.  When a holder of </w:t>
      </w:r>
      <w:r w:rsidR="00F60E7A" w:rsidRPr="00783A69">
        <w:rPr>
          <w:i/>
          <w:iCs/>
          <w:color w:val="000000"/>
        </w:rPr>
        <w:t>A</w:t>
      </w:r>
      <w:r w:rsidR="00F60E7A" w:rsidRPr="00783A69">
        <w:rPr>
          <w:color w:val="000000"/>
        </w:rPr>
        <w:t xml:space="preserve"> tokens</w:t>
      </w:r>
      <w:r w:rsidRPr="00783A69">
        <w:rPr>
          <w:color w:val="000000"/>
        </w:rPr>
        <w:t xml:space="preserve"> </w:t>
      </w:r>
      <w:r w:rsidR="00492C20" w:rsidRPr="00783A69">
        <w:rPr>
          <w:color w:val="000000"/>
        </w:rPr>
        <w:t xml:space="preserve">wraps his </w:t>
      </w:r>
      <w:r w:rsidR="00492C20" w:rsidRPr="00783A69">
        <w:rPr>
          <w:i/>
          <w:iCs/>
          <w:color w:val="000000"/>
        </w:rPr>
        <w:t>A</w:t>
      </w:r>
      <w:r w:rsidR="00492C20" w:rsidRPr="00783A69">
        <w:rPr>
          <w:color w:val="000000"/>
        </w:rPr>
        <w:t xml:space="preserve"> </w:t>
      </w:r>
      <w:r w:rsidR="00382C26">
        <w:rPr>
          <w:color w:val="000000"/>
        </w:rPr>
        <w:t>t</w:t>
      </w:r>
      <w:r w:rsidR="00492C20" w:rsidRPr="00783A69">
        <w:rPr>
          <w:color w:val="000000"/>
        </w:rPr>
        <w:t>oken</w:t>
      </w:r>
      <w:r w:rsidR="00640B8B">
        <w:rPr>
          <w:color w:val="000000"/>
        </w:rPr>
        <w:t>s</w:t>
      </w:r>
      <w:r w:rsidR="00492C20" w:rsidRPr="00783A69">
        <w:rPr>
          <w:color w:val="000000"/>
        </w:rPr>
        <w:t xml:space="preserve"> and thereby mints </w:t>
      </w:r>
      <w:r w:rsidR="00684478" w:rsidRPr="00783A69">
        <w:rPr>
          <w:color w:val="000000"/>
        </w:rPr>
        <w:t>Receipt</w:t>
      </w:r>
      <w:r w:rsidR="00492C20" w:rsidRPr="00783A69">
        <w:rPr>
          <w:color w:val="000000"/>
        </w:rPr>
        <w:t xml:space="preserve"> </w:t>
      </w:r>
      <w:r w:rsidR="001500AF" w:rsidRPr="00783A69">
        <w:rPr>
          <w:color w:val="000000"/>
        </w:rPr>
        <w:t>T</w:t>
      </w:r>
      <w:r w:rsidR="00492C20" w:rsidRPr="00783A69">
        <w:rPr>
          <w:color w:val="000000"/>
        </w:rPr>
        <w:t>oken</w:t>
      </w:r>
      <w:r w:rsidR="00640B8B">
        <w:rPr>
          <w:color w:val="000000"/>
        </w:rPr>
        <w:t>s</w:t>
      </w:r>
      <w:r w:rsidR="00492C20" w:rsidRPr="00783A69">
        <w:rPr>
          <w:color w:val="000000"/>
        </w:rPr>
        <w:t xml:space="preserve">, there is no </w:t>
      </w:r>
      <w:r w:rsidR="005B77D3">
        <w:rPr>
          <w:color w:val="000000"/>
        </w:rPr>
        <w:t xml:space="preserve">transfer of </w:t>
      </w:r>
      <w:r w:rsidR="00492C20" w:rsidRPr="00783A69">
        <w:rPr>
          <w:color w:val="000000"/>
        </w:rPr>
        <w:t xml:space="preserve">the benefits and burdens of </w:t>
      </w:r>
      <w:r w:rsidR="00684478" w:rsidRPr="00783A69">
        <w:rPr>
          <w:color w:val="000000"/>
        </w:rPr>
        <w:t>owning</w:t>
      </w:r>
      <w:r w:rsidR="00492C20" w:rsidRPr="00783A69">
        <w:rPr>
          <w:color w:val="000000"/>
        </w:rPr>
        <w:t xml:space="preserve"> the underlying A tokens. </w:t>
      </w:r>
      <w:r w:rsidR="001500AF" w:rsidRPr="00783A69">
        <w:rPr>
          <w:color w:val="000000"/>
        </w:rPr>
        <w:t xml:space="preserve"> The situation is no different than </w:t>
      </w:r>
      <w:r w:rsidR="00783A69" w:rsidRPr="00783A69">
        <w:rPr>
          <w:color w:val="000000"/>
        </w:rPr>
        <w:t xml:space="preserve">a person </w:t>
      </w:r>
      <w:r w:rsidR="001500AF" w:rsidRPr="00783A69">
        <w:rPr>
          <w:color w:val="000000"/>
        </w:rPr>
        <w:t xml:space="preserve">printing out a certificate of title for a house, or </w:t>
      </w:r>
      <w:r w:rsidR="007A2B95">
        <w:rPr>
          <w:color w:val="000000"/>
        </w:rPr>
        <w:t xml:space="preserve">the creation of </w:t>
      </w:r>
      <w:r w:rsidR="0081272A" w:rsidRPr="00783A69">
        <w:rPr>
          <w:color w:val="000000"/>
        </w:rPr>
        <w:t>an ADR</w:t>
      </w:r>
      <w:r w:rsidR="00783A69" w:rsidRPr="00783A69">
        <w:rPr>
          <w:color w:val="000000"/>
        </w:rPr>
        <w:t xml:space="preserve"> described above.  For this reason, the wrapping of </w:t>
      </w:r>
      <w:r w:rsidR="001500AF" w:rsidRPr="00783A69">
        <w:rPr>
          <w:i/>
          <w:iCs/>
          <w:color w:val="000000"/>
        </w:rPr>
        <w:t>A</w:t>
      </w:r>
      <w:r w:rsidR="001500AF" w:rsidRPr="00783A69">
        <w:rPr>
          <w:color w:val="000000"/>
        </w:rPr>
        <w:t xml:space="preserve"> tokens </w:t>
      </w:r>
      <w:r w:rsidR="00783A69" w:rsidRPr="00783A69">
        <w:rPr>
          <w:color w:val="000000"/>
        </w:rPr>
        <w:t>should not be seen as giving rise to an</w:t>
      </w:r>
      <w:r w:rsidRPr="00783A69">
        <w:rPr>
          <w:color w:val="000000"/>
        </w:rPr>
        <w:t xml:space="preserve"> “exchange” </w:t>
      </w:r>
      <w:r w:rsidR="00783A69" w:rsidRPr="00783A69">
        <w:rPr>
          <w:color w:val="000000"/>
        </w:rPr>
        <w:t>that results in</w:t>
      </w:r>
      <w:r w:rsidRPr="00783A69">
        <w:rPr>
          <w:color w:val="000000"/>
        </w:rPr>
        <w:t xml:space="preserve"> a taxable event.  </w:t>
      </w:r>
    </w:p>
    <w:p w14:paraId="686F1DDF" w14:textId="2CEE52BC" w:rsidR="00EB3088" w:rsidRPr="00EB3088" w:rsidRDefault="00EB3088" w:rsidP="00EB3088">
      <w:pPr>
        <w:pStyle w:val="ListParagraph"/>
        <w:numPr>
          <w:ilvl w:val="0"/>
          <w:numId w:val="1"/>
        </w:numPr>
        <w:pBdr>
          <w:top w:val="nil"/>
          <w:left w:val="nil"/>
          <w:bottom w:val="nil"/>
          <w:right w:val="nil"/>
          <w:between w:val="nil"/>
        </w:pBdr>
        <w:spacing w:line="360" w:lineRule="auto"/>
        <w:jc w:val="both"/>
        <w:rPr>
          <w:rFonts w:ascii="Calibri" w:hAnsi="Calibri" w:cs="Calibri"/>
          <w:color w:val="000000"/>
          <w:sz w:val="24"/>
          <w:szCs w:val="24"/>
        </w:rPr>
      </w:pPr>
      <w:r>
        <w:rPr>
          <w:rFonts w:ascii="Calibri" w:hAnsi="Calibri" w:cs="Calibri"/>
          <w:i/>
          <w:iCs/>
          <w:color w:val="000000"/>
          <w:sz w:val="24"/>
          <w:szCs w:val="24"/>
        </w:rPr>
        <w:t xml:space="preserve">Even if Wrapping Is an Exchange, Receipt Tokens Are </w:t>
      </w:r>
      <w:r w:rsidR="0055727E">
        <w:rPr>
          <w:rFonts w:ascii="Calibri" w:hAnsi="Calibri" w:cs="Calibri"/>
          <w:i/>
          <w:iCs/>
          <w:color w:val="000000"/>
          <w:sz w:val="24"/>
          <w:szCs w:val="24"/>
        </w:rPr>
        <w:t>N</w:t>
      </w:r>
      <w:r>
        <w:rPr>
          <w:rFonts w:ascii="Calibri" w:hAnsi="Calibri" w:cs="Calibri"/>
          <w:i/>
          <w:iCs/>
          <w:color w:val="000000"/>
          <w:sz w:val="24"/>
          <w:szCs w:val="24"/>
        </w:rPr>
        <w:t xml:space="preserve">ot Materially Different than the Underlying Crypto-assets. </w:t>
      </w:r>
    </w:p>
    <w:p w14:paraId="5BA72039" w14:textId="1B218CA1" w:rsidR="00450230" w:rsidRDefault="00243899" w:rsidP="0083290C">
      <w:pPr>
        <w:pBdr>
          <w:top w:val="nil"/>
          <w:left w:val="nil"/>
          <w:bottom w:val="nil"/>
          <w:right w:val="nil"/>
          <w:between w:val="nil"/>
        </w:pBdr>
        <w:spacing w:before="0" w:after="160" w:line="360" w:lineRule="auto"/>
        <w:ind w:left="0" w:firstLine="720"/>
        <w:jc w:val="both"/>
        <w:rPr>
          <w:color w:val="000000"/>
        </w:rPr>
      </w:pPr>
      <w:r>
        <w:rPr>
          <w:color w:val="000000"/>
        </w:rPr>
        <w:t>E</w:t>
      </w:r>
      <w:r w:rsidR="00450230" w:rsidRPr="00256CB0">
        <w:rPr>
          <w:color w:val="000000"/>
        </w:rPr>
        <w:t xml:space="preserve">ven if </w:t>
      </w:r>
      <w:r w:rsidR="00450230">
        <w:rPr>
          <w:color w:val="000000"/>
        </w:rPr>
        <w:t>a</w:t>
      </w:r>
      <w:r w:rsidR="00223D9C">
        <w:rPr>
          <w:color w:val="000000"/>
        </w:rPr>
        <w:t>n exchange</w:t>
      </w:r>
      <w:r w:rsidR="00450230">
        <w:rPr>
          <w:color w:val="000000"/>
        </w:rPr>
        <w:t xml:space="preserve"> </w:t>
      </w:r>
      <w:r>
        <w:rPr>
          <w:color w:val="000000"/>
        </w:rPr>
        <w:t>were</w:t>
      </w:r>
      <w:r w:rsidRPr="00256CB0">
        <w:rPr>
          <w:color w:val="000000"/>
        </w:rPr>
        <w:t xml:space="preserve"> </w:t>
      </w:r>
      <w:r w:rsidR="00450230" w:rsidRPr="00256CB0">
        <w:rPr>
          <w:color w:val="000000"/>
        </w:rPr>
        <w:t xml:space="preserve">deemed to occur on </w:t>
      </w:r>
      <w:r w:rsidR="00FE6550">
        <w:rPr>
          <w:color w:val="000000"/>
        </w:rPr>
        <w:t xml:space="preserve">the creation of </w:t>
      </w:r>
      <w:r w:rsidR="00450230">
        <w:rPr>
          <w:color w:val="000000"/>
        </w:rPr>
        <w:t xml:space="preserve">a </w:t>
      </w:r>
      <w:r w:rsidR="00EB2F7E">
        <w:rPr>
          <w:color w:val="000000"/>
        </w:rPr>
        <w:t xml:space="preserve">Receipt </w:t>
      </w:r>
      <w:r w:rsidR="00450230">
        <w:rPr>
          <w:color w:val="000000"/>
        </w:rPr>
        <w:t>Token</w:t>
      </w:r>
      <w:r w:rsidR="00450230" w:rsidRPr="00256CB0">
        <w:rPr>
          <w:color w:val="000000"/>
        </w:rPr>
        <w:t xml:space="preserve"> </w:t>
      </w:r>
      <w:r w:rsidR="00FE6550">
        <w:rPr>
          <w:color w:val="000000"/>
        </w:rPr>
        <w:t xml:space="preserve">through wrapping </w:t>
      </w:r>
      <w:r w:rsidR="00450230" w:rsidRPr="00256CB0">
        <w:rPr>
          <w:color w:val="000000"/>
        </w:rPr>
        <w:t>(and</w:t>
      </w:r>
      <w:r w:rsidR="00450230">
        <w:rPr>
          <w:color w:val="000000"/>
        </w:rPr>
        <w:t xml:space="preserve"> to be clear -</w:t>
      </w:r>
      <w:r w:rsidR="00450230" w:rsidRPr="00256CB0">
        <w:rPr>
          <w:color w:val="000000"/>
        </w:rPr>
        <w:t xml:space="preserve"> it does not), well-established tax law requires more for that </w:t>
      </w:r>
      <w:r w:rsidR="005B0F1D">
        <w:rPr>
          <w:color w:val="000000"/>
        </w:rPr>
        <w:t xml:space="preserve">exchange </w:t>
      </w:r>
      <w:r w:rsidR="00450230" w:rsidRPr="00256CB0">
        <w:rPr>
          <w:color w:val="000000"/>
        </w:rPr>
        <w:t xml:space="preserve">to be taxable. </w:t>
      </w:r>
      <w:r w:rsidR="00450230">
        <w:rPr>
          <w:color w:val="000000"/>
        </w:rPr>
        <w:t xml:space="preserve"> </w:t>
      </w:r>
      <w:r w:rsidR="007A3349">
        <w:rPr>
          <w:color w:val="000000"/>
        </w:rPr>
        <w:t xml:space="preserve">IRS regulations </w:t>
      </w:r>
      <w:r w:rsidR="00FE6550">
        <w:rPr>
          <w:color w:val="000000"/>
        </w:rPr>
        <w:t>state</w:t>
      </w:r>
      <w:r w:rsidR="007A3349">
        <w:rPr>
          <w:color w:val="000000"/>
        </w:rPr>
        <w:t xml:space="preserve"> that the </w:t>
      </w:r>
      <w:r w:rsidR="005B0F1D">
        <w:rPr>
          <w:color w:val="000000"/>
        </w:rPr>
        <w:t xml:space="preserve">exchange </w:t>
      </w:r>
      <w:r w:rsidR="00450230" w:rsidRPr="00256CB0">
        <w:rPr>
          <w:color w:val="000000"/>
        </w:rPr>
        <w:t>must be of property that differs “materially either in kind or in extent.”</w:t>
      </w:r>
      <w:r w:rsidR="007A3349">
        <w:rPr>
          <w:rStyle w:val="FootnoteReference"/>
          <w:color w:val="000000"/>
        </w:rPr>
        <w:footnoteReference w:id="9"/>
      </w:r>
      <w:r w:rsidR="007A3349">
        <w:rPr>
          <w:color w:val="000000"/>
        </w:rPr>
        <w:t xml:space="preserve"> </w:t>
      </w:r>
      <w:r w:rsidR="00EB2F7E">
        <w:rPr>
          <w:color w:val="000000"/>
        </w:rPr>
        <w:t xml:space="preserve"> In a seminal case on this question, the U.S. Supreme Court </w:t>
      </w:r>
      <w:r w:rsidR="00450230" w:rsidRPr="00256CB0">
        <w:rPr>
          <w:color w:val="000000"/>
        </w:rPr>
        <w:t xml:space="preserve">held that there was a </w:t>
      </w:r>
      <w:r w:rsidR="00EB2F7E">
        <w:rPr>
          <w:color w:val="000000"/>
        </w:rPr>
        <w:t>taxable event</w:t>
      </w:r>
      <w:r w:rsidR="00450230" w:rsidRPr="00256CB0">
        <w:rPr>
          <w:color w:val="000000"/>
        </w:rPr>
        <w:t xml:space="preserve"> because the property that the petitioner received in exchange</w:t>
      </w:r>
      <w:r w:rsidR="00BD5C2A">
        <w:rPr>
          <w:color w:val="000000"/>
        </w:rPr>
        <w:t xml:space="preserve"> for its property</w:t>
      </w:r>
      <w:r w:rsidR="00450230" w:rsidRPr="00256CB0">
        <w:rPr>
          <w:color w:val="000000"/>
        </w:rPr>
        <w:t xml:space="preserve"> (a debt instrument relating to a bundle of mortgages) had different obligors and was secured by different underlying mortgages. </w:t>
      </w:r>
      <w:r w:rsidR="00FE6550">
        <w:rPr>
          <w:color w:val="000000"/>
        </w:rPr>
        <w:t xml:space="preserve"> </w:t>
      </w:r>
      <w:r w:rsidR="001500AF">
        <w:rPr>
          <w:color w:val="000000"/>
        </w:rPr>
        <w:t>Thus, for there to be an exchange, the tax law</w:t>
      </w:r>
      <w:r w:rsidR="00450230" w:rsidRPr="00256CB0">
        <w:rPr>
          <w:color w:val="000000"/>
        </w:rPr>
        <w:t xml:space="preserve"> requires an exchange of properties with “legally distinct entitlements.”</w:t>
      </w:r>
      <w:r w:rsidR="001500AF">
        <w:rPr>
          <w:rStyle w:val="FootnoteReference"/>
          <w:color w:val="000000"/>
        </w:rPr>
        <w:footnoteReference w:id="10"/>
      </w:r>
    </w:p>
    <w:p w14:paraId="691E35F8" w14:textId="278E07F9" w:rsidR="00786779" w:rsidRDefault="00450230" w:rsidP="0083290C">
      <w:pPr>
        <w:pBdr>
          <w:top w:val="nil"/>
          <w:left w:val="nil"/>
          <w:bottom w:val="nil"/>
          <w:right w:val="nil"/>
          <w:between w:val="nil"/>
        </w:pBdr>
        <w:spacing w:before="0" w:after="160" w:line="360" w:lineRule="auto"/>
        <w:ind w:left="0" w:firstLine="720"/>
        <w:jc w:val="both"/>
        <w:rPr>
          <w:color w:val="000000"/>
        </w:rPr>
      </w:pPr>
      <w:r>
        <w:rPr>
          <w:color w:val="000000"/>
        </w:rPr>
        <w:t xml:space="preserve">A </w:t>
      </w:r>
      <w:r w:rsidR="00EB2F7E">
        <w:rPr>
          <w:color w:val="000000"/>
        </w:rPr>
        <w:t xml:space="preserve">Receipt </w:t>
      </w:r>
      <w:r>
        <w:rPr>
          <w:color w:val="000000"/>
        </w:rPr>
        <w:t>Token</w:t>
      </w:r>
      <w:r w:rsidRPr="003036B5">
        <w:rPr>
          <w:color w:val="000000"/>
        </w:rPr>
        <w:t xml:space="preserve"> does not represent a legally distinct entitlement from the underlying </w:t>
      </w:r>
      <w:r w:rsidR="00BD5C2A">
        <w:rPr>
          <w:color w:val="000000"/>
        </w:rPr>
        <w:t>crypto-asset that it represents</w:t>
      </w:r>
      <w:r w:rsidRPr="003036B5">
        <w:rPr>
          <w:color w:val="000000"/>
        </w:rPr>
        <w:t xml:space="preserve"> (</w:t>
      </w:r>
      <w:r w:rsidR="004E3F65">
        <w:rPr>
          <w:color w:val="000000"/>
        </w:rPr>
        <w:t>that is,</w:t>
      </w:r>
      <w:r w:rsidRPr="003036B5">
        <w:rPr>
          <w:color w:val="000000"/>
        </w:rPr>
        <w:t xml:space="preserve"> </w:t>
      </w:r>
      <w:r w:rsidR="004E3F65">
        <w:rPr>
          <w:color w:val="000000"/>
        </w:rPr>
        <w:t xml:space="preserve">token </w:t>
      </w:r>
      <w:r w:rsidR="004E3F65" w:rsidRPr="004E3F65">
        <w:rPr>
          <w:i/>
          <w:iCs/>
          <w:color w:val="000000"/>
        </w:rPr>
        <w:t>A</w:t>
      </w:r>
      <w:r w:rsidRPr="003036B5">
        <w:rPr>
          <w:color w:val="000000"/>
        </w:rPr>
        <w:t xml:space="preserve">). </w:t>
      </w:r>
      <w:r w:rsidR="004E3F65">
        <w:rPr>
          <w:color w:val="000000"/>
        </w:rPr>
        <w:t xml:space="preserve"> </w:t>
      </w:r>
      <w:r w:rsidRPr="003036B5">
        <w:rPr>
          <w:color w:val="000000"/>
        </w:rPr>
        <w:t xml:space="preserve">Much in the same way that a person can sell her coat check ticket or an ADR to a willing purchaser, so too can holders of </w:t>
      </w:r>
      <w:r w:rsidR="003E4289">
        <w:rPr>
          <w:color w:val="000000"/>
        </w:rPr>
        <w:t xml:space="preserve">Receipt </w:t>
      </w:r>
      <w:r>
        <w:rPr>
          <w:color w:val="000000"/>
        </w:rPr>
        <w:t>Tokens</w:t>
      </w:r>
      <w:r w:rsidR="004E3F65">
        <w:rPr>
          <w:color w:val="000000"/>
        </w:rPr>
        <w:t xml:space="preserve"> sell the Receipt Token as a way of effecting the sale of the underlying crypto-assets represented by that token</w:t>
      </w:r>
      <w:r w:rsidRPr="003036B5">
        <w:rPr>
          <w:color w:val="000000"/>
        </w:rPr>
        <w:t xml:space="preserve">. But that does not change the fact that what was really sold in that transaction was the benefits and burdens of owning the underlying </w:t>
      </w:r>
      <w:r w:rsidR="00905ED0" w:rsidRPr="00905ED0">
        <w:rPr>
          <w:i/>
          <w:iCs/>
          <w:color w:val="000000"/>
        </w:rPr>
        <w:t>A</w:t>
      </w:r>
      <w:r w:rsidR="00905ED0">
        <w:rPr>
          <w:color w:val="000000"/>
        </w:rPr>
        <w:t xml:space="preserve"> </w:t>
      </w:r>
      <w:r w:rsidRPr="003036B5">
        <w:rPr>
          <w:color w:val="000000"/>
        </w:rPr>
        <w:t xml:space="preserve">token. </w:t>
      </w:r>
      <w:r>
        <w:rPr>
          <w:color w:val="000000"/>
        </w:rPr>
        <w:t xml:space="preserve"> </w:t>
      </w:r>
    </w:p>
    <w:p w14:paraId="358C0A51" w14:textId="1C535A05" w:rsidR="00450230" w:rsidRDefault="00786779" w:rsidP="0083290C">
      <w:pPr>
        <w:pBdr>
          <w:top w:val="nil"/>
          <w:left w:val="nil"/>
          <w:bottom w:val="nil"/>
          <w:right w:val="nil"/>
          <w:between w:val="nil"/>
        </w:pBdr>
        <w:spacing w:before="0" w:after="160" w:line="360" w:lineRule="auto"/>
        <w:ind w:left="0" w:firstLine="720"/>
        <w:jc w:val="both"/>
        <w:rPr>
          <w:color w:val="000000"/>
        </w:rPr>
      </w:pPr>
      <w:r>
        <w:rPr>
          <w:color w:val="000000"/>
        </w:rPr>
        <w:t>Thus</w:t>
      </w:r>
      <w:r w:rsidR="00450230" w:rsidRPr="003036B5">
        <w:rPr>
          <w:color w:val="000000"/>
        </w:rPr>
        <w:t xml:space="preserve">, </w:t>
      </w:r>
      <w:r w:rsidR="00B058EC">
        <w:rPr>
          <w:color w:val="000000"/>
        </w:rPr>
        <w:t xml:space="preserve">minting </w:t>
      </w:r>
      <w:r w:rsidR="00450230" w:rsidRPr="003036B5">
        <w:rPr>
          <w:color w:val="000000"/>
        </w:rPr>
        <w:t>a</w:t>
      </w:r>
      <w:r w:rsidR="00450230">
        <w:rPr>
          <w:color w:val="000000"/>
        </w:rPr>
        <w:t xml:space="preserve"> </w:t>
      </w:r>
      <w:r w:rsidR="00185EF2">
        <w:rPr>
          <w:color w:val="000000"/>
        </w:rPr>
        <w:t xml:space="preserve">Receipt </w:t>
      </w:r>
      <w:r w:rsidR="00450230">
        <w:rPr>
          <w:color w:val="000000"/>
        </w:rPr>
        <w:t>Token</w:t>
      </w:r>
      <w:r w:rsidR="00BB1381">
        <w:rPr>
          <w:color w:val="000000"/>
        </w:rPr>
        <w:t>, even if treated as received in exchange for</w:t>
      </w:r>
      <w:r w:rsidR="00017872">
        <w:rPr>
          <w:color w:val="000000"/>
        </w:rPr>
        <w:t xml:space="preserve"> a</w:t>
      </w:r>
      <w:r w:rsidR="003B2E56">
        <w:rPr>
          <w:color w:val="000000"/>
        </w:rPr>
        <w:t xml:space="preserve">n </w:t>
      </w:r>
      <w:r w:rsidR="003B2E56">
        <w:rPr>
          <w:i/>
          <w:iCs/>
          <w:color w:val="000000"/>
        </w:rPr>
        <w:t xml:space="preserve">A </w:t>
      </w:r>
      <w:r w:rsidR="00017872">
        <w:rPr>
          <w:color w:val="000000"/>
        </w:rPr>
        <w:t>token,</w:t>
      </w:r>
      <w:r w:rsidR="00450230" w:rsidRPr="003036B5">
        <w:rPr>
          <w:color w:val="000000"/>
        </w:rPr>
        <w:t xml:space="preserve"> is not</w:t>
      </w:r>
      <w:r w:rsidR="00B058EC">
        <w:rPr>
          <w:color w:val="000000"/>
        </w:rPr>
        <w:t xml:space="preserve"> an exchange for</w:t>
      </w:r>
      <w:r w:rsidR="00450230" w:rsidRPr="003036B5">
        <w:rPr>
          <w:color w:val="000000"/>
        </w:rPr>
        <w:t xml:space="preserve"> “property that differs materially either in kind or extent</w:t>
      </w:r>
      <w:r w:rsidR="00450230">
        <w:rPr>
          <w:color w:val="000000"/>
        </w:rPr>
        <w:t>”</w:t>
      </w:r>
      <w:r>
        <w:rPr>
          <w:color w:val="000000"/>
        </w:rPr>
        <w:t xml:space="preserve"> – the test </w:t>
      </w:r>
      <w:r w:rsidR="00905ED0">
        <w:rPr>
          <w:color w:val="000000"/>
        </w:rPr>
        <w:t>applied</w:t>
      </w:r>
      <w:r>
        <w:rPr>
          <w:color w:val="000000"/>
        </w:rPr>
        <w:t xml:space="preserve"> under established caselaw</w:t>
      </w:r>
      <w:r w:rsidR="00B058EC">
        <w:rPr>
          <w:color w:val="000000"/>
        </w:rPr>
        <w:t xml:space="preserve"> </w:t>
      </w:r>
      <w:r w:rsidR="003B2E56">
        <w:rPr>
          <w:color w:val="000000"/>
        </w:rPr>
        <w:t xml:space="preserve">– from the underlying </w:t>
      </w:r>
      <w:r w:rsidR="003B2E56">
        <w:rPr>
          <w:i/>
          <w:iCs/>
          <w:color w:val="000000"/>
        </w:rPr>
        <w:t xml:space="preserve">A </w:t>
      </w:r>
      <w:r w:rsidR="003B2E56">
        <w:rPr>
          <w:color w:val="000000"/>
        </w:rPr>
        <w:t>tokens</w:t>
      </w:r>
      <w:r>
        <w:rPr>
          <w:color w:val="000000"/>
        </w:rPr>
        <w:t>.</w:t>
      </w:r>
      <w:r w:rsidR="00450230" w:rsidRPr="003036B5">
        <w:rPr>
          <w:color w:val="000000"/>
        </w:rPr>
        <w:t xml:space="preserve"> </w:t>
      </w:r>
      <w:r w:rsidR="00450230">
        <w:rPr>
          <w:color w:val="000000"/>
        </w:rPr>
        <w:t xml:space="preserve"> </w:t>
      </w:r>
      <w:r w:rsidR="00450230" w:rsidRPr="003036B5">
        <w:rPr>
          <w:color w:val="000000"/>
        </w:rPr>
        <w:t>That is, the</w:t>
      </w:r>
      <w:r w:rsidR="006726D6">
        <w:rPr>
          <w:color w:val="000000"/>
        </w:rPr>
        <w:t xml:space="preserve"> mere act of wrapping </w:t>
      </w:r>
      <w:r w:rsidR="00905ED0">
        <w:rPr>
          <w:color w:val="000000"/>
        </w:rPr>
        <w:t xml:space="preserve">should </w:t>
      </w:r>
      <w:r w:rsidR="00450230" w:rsidRPr="003036B5">
        <w:rPr>
          <w:color w:val="000000"/>
        </w:rPr>
        <w:t>no</w:t>
      </w:r>
      <w:r w:rsidR="006726D6">
        <w:rPr>
          <w:color w:val="000000"/>
        </w:rPr>
        <w:t>t be an</w:t>
      </w:r>
      <w:r w:rsidR="00450230" w:rsidRPr="003036B5">
        <w:rPr>
          <w:color w:val="000000"/>
        </w:rPr>
        <w:t xml:space="preserve"> exchange of property that differs materially in kind or extent and </w:t>
      </w:r>
      <w:r w:rsidR="00905ED0">
        <w:rPr>
          <w:color w:val="000000"/>
        </w:rPr>
        <w:t>accordingly</w:t>
      </w:r>
      <w:r w:rsidR="00450230" w:rsidRPr="003036B5">
        <w:rPr>
          <w:color w:val="000000"/>
        </w:rPr>
        <w:t>, no taxable even</w:t>
      </w:r>
      <w:r w:rsidR="00450230">
        <w:rPr>
          <w:color w:val="000000"/>
        </w:rPr>
        <w:t>t.</w:t>
      </w:r>
    </w:p>
    <w:p w14:paraId="7C2ADA3A" w14:textId="6252309A" w:rsidR="00786779" w:rsidRPr="00786779" w:rsidRDefault="00786779" w:rsidP="00786779">
      <w:pPr>
        <w:pBdr>
          <w:top w:val="nil"/>
          <w:left w:val="nil"/>
          <w:bottom w:val="nil"/>
          <w:right w:val="nil"/>
          <w:between w:val="nil"/>
        </w:pBdr>
        <w:spacing w:before="0" w:after="160" w:line="360" w:lineRule="auto"/>
        <w:jc w:val="center"/>
        <w:rPr>
          <w:b/>
          <w:bCs/>
          <w:color w:val="000000"/>
          <w:u w:val="single"/>
        </w:rPr>
      </w:pPr>
      <w:r w:rsidRPr="00786779">
        <w:rPr>
          <w:b/>
          <w:bCs/>
          <w:color w:val="000000"/>
          <w:u w:val="single"/>
        </w:rPr>
        <w:t>Conclusion</w:t>
      </w:r>
    </w:p>
    <w:p w14:paraId="58749692" w14:textId="50866ED5" w:rsidR="00450230" w:rsidRDefault="00786779" w:rsidP="0083290C">
      <w:pPr>
        <w:pBdr>
          <w:top w:val="nil"/>
          <w:left w:val="nil"/>
          <w:bottom w:val="nil"/>
          <w:right w:val="nil"/>
          <w:between w:val="nil"/>
        </w:pBdr>
        <w:spacing w:before="0" w:after="160" w:line="360" w:lineRule="auto"/>
        <w:ind w:left="0" w:firstLine="720"/>
        <w:jc w:val="both"/>
        <w:rPr>
          <w:color w:val="000000"/>
        </w:rPr>
      </w:pPr>
      <w:r>
        <w:rPr>
          <w:color w:val="000000"/>
        </w:rPr>
        <w:t>In summary</w:t>
      </w:r>
      <w:r w:rsidR="00450230">
        <w:rPr>
          <w:color w:val="000000"/>
        </w:rPr>
        <w:t xml:space="preserve">, neither minting nor </w:t>
      </w:r>
      <w:r w:rsidR="00450230" w:rsidRPr="0085743E">
        <w:rPr>
          <w:color w:val="000000"/>
        </w:rPr>
        <w:t xml:space="preserve">redeeming </w:t>
      </w:r>
      <w:r w:rsidR="00450230">
        <w:rPr>
          <w:color w:val="000000"/>
        </w:rPr>
        <w:t xml:space="preserve">a </w:t>
      </w:r>
      <w:r w:rsidR="00185EF2">
        <w:rPr>
          <w:color w:val="000000"/>
        </w:rPr>
        <w:t xml:space="preserve">Receipt </w:t>
      </w:r>
      <w:r w:rsidR="00450230">
        <w:rPr>
          <w:color w:val="000000"/>
        </w:rPr>
        <w:t>Token</w:t>
      </w:r>
      <w:r w:rsidR="00450230" w:rsidRPr="0085743E">
        <w:rPr>
          <w:color w:val="000000"/>
        </w:rPr>
        <w:t xml:space="preserve"> </w:t>
      </w:r>
      <w:r w:rsidR="00450230">
        <w:rPr>
          <w:color w:val="000000"/>
        </w:rPr>
        <w:t>involves</w:t>
      </w:r>
      <w:r w:rsidR="00450230" w:rsidRPr="0085743E">
        <w:rPr>
          <w:color w:val="000000"/>
        </w:rPr>
        <w:t xml:space="preserve"> a</w:t>
      </w:r>
      <w:r w:rsidR="00A2458E">
        <w:rPr>
          <w:color w:val="000000"/>
        </w:rPr>
        <w:t>n exchange of property</w:t>
      </w:r>
      <w:r w:rsidR="0055727E">
        <w:rPr>
          <w:color w:val="000000"/>
        </w:rPr>
        <w:t xml:space="preserve"> </w:t>
      </w:r>
      <w:r w:rsidR="00450230" w:rsidRPr="005A47C0">
        <w:rPr>
          <w:color w:val="000000"/>
        </w:rPr>
        <w:t xml:space="preserve">and thus, such activities do not amount to a taxable event. </w:t>
      </w:r>
      <w:r w:rsidR="00450230">
        <w:rPr>
          <w:color w:val="000000"/>
        </w:rPr>
        <w:t xml:space="preserve"> And furthermore, e</w:t>
      </w:r>
      <w:r w:rsidR="00450230" w:rsidRPr="005A47C0">
        <w:rPr>
          <w:color w:val="000000"/>
        </w:rPr>
        <w:t xml:space="preserve">ven if </w:t>
      </w:r>
      <w:r w:rsidR="005A1AFF">
        <w:rPr>
          <w:color w:val="000000"/>
        </w:rPr>
        <w:t>minting or redeeming a Receipt Token</w:t>
      </w:r>
      <w:r w:rsidR="0055727E">
        <w:rPr>
          <w:color w:val="000000"/>
        </w:rPr>
        <w:t xml:space="preserve"> </w:t>
      </w:r>
      <w:r w:rsidR="00DE7EDA">
        <w:rPr>
          <w:color w:val="000000"/>
        </w:rPr>
        <w:t>is incorrectly treated as an</w:t>
      </w:r>
      <w:r w:rsidR="00450230" w:rsidRPr="005A47C0">
        <w:rPr>
          <w:color w:val="000000"/>
        </w:rPr>
        <w:t xml:space="preserve"> </w:t>
      </w:r>
      <w:r w:rsidR="004933B5">
        <w:rPr>
          <w:color w:val="000000"/>
        </w:rPr>
        <w:t>exchange</w:t>
      </w:r>
      <w:r w:rsidR="00450230" w:rsidRPr="005A47C0">
        <w:rPr>
          <w:color w:val="000000"/>
        </w:rPr>
        <w:t xml:space="preserve">, </w:t>
      </w:r>
      <w:r w:rsidR="00C147A8">
        <w:rPr>
          <w:color w:val="000000"/>
        </w:rPr>
        <w:t>the Receipt Token is not property that differs materially in kind or extent</w:t>
      </w:r>
      <w:r w:rsidR="006E4714">
        <w:rPr>
          <w:color w:val="000000"/>
        </w:rPr>
        <w:t xml:space="preserve">, and therefore no taxable event occurs. </w:t>
      </w:r>
    </w:p>
    <w:p w14:paraId="10701A1A" w14:textId="77777777" w:rsidR="00593E21" w:rsidRDefault="00593E21" w:rsidP="0083290C">
      <w:pPr>
        <w:spacing w:before="0" w:after="160" w:line="360" w:lineRule="auto"/>
        <w:ind w:left="0" w:firstLine="0"/>
        <w:jc w:val="both"/>
      </w:pPr>
    </w:p>
    <w:sectPr w:rsidR="00593E2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D69C" w14:textId="77777777" w:rsidR="008049CE" w:rsidRDefault="008049CE" w:rsidP="00DB2090">
      <w:pPr>
        <w:spacing w:before="0"/>
      </w:pPr>
      <w:r>
        <w:separator/>
      </w:r>
    </w:p>
  </w:endnote>
  <w:endnote w:type="continuationSeparator" w:id="0">
    <w:p w14:paraId="2A32D0C0" w14:textId="77777777" w:rsidR="008049CE" w:rsidRDefault="008049CE" w:rsidP="00DB209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510168"/>
      <w:docPartObj>
        <w:docPartGallery w:val="Page Numbers (Bottom of Page)"/>
        <w:docPartUnique/>
      </w:docPartObj>
    </w:sdtPr>
    <w:sdtEndPr>
      <w:rPr>
        <w:noProof/>
      </w:rPr>
    </w:sdtEndPr>
    <w:sdtContent>
      <w:p w14:paraId="1A20EB77" w14:textId="43C0AFA1" w:rsidR="00CC6E0C" w:rsidRDefault="00CC6E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2CDAE2" w14:textId="77777777" w:rsidR="00593E21" w:rsidRDefault="00593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228F" w14:textId="77777777" w:rsidR="008049CE" w:rsidRDefault="008049CE" w:rsidP="00DB2090">
      <w:pPr>
        <w:spacing w:before="0"/>
      </w:pPr>
      <w:r>
        <w:separator/>
      </w:r>
    </w:p>
  </w:footnote>
  <w:footnote w:type="continuationSeparator" w:id="0">
    <w:p w14:paraId="6F0F2731" w14:textId="77777777" w:rsidR="008049CE" w:rsidRDefault="008049CE" w:rsidP="00DB2090">
      <w:pPr>
        <w:spacing w:before="0"/>
      </w:pPr>
      <w:r>
        <w:continuationSeparator/>
      </w:r>
    </w:p>
  </w:footnote>
  <w:footnote w:id="1">
    <w:p w14:paraId="24B69F86" w14:textId="266652D1" w:rsidR="00593E21" w:rsidRPr="00783A69" w:rsidRDefault="00593E21">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t xml:space="preserve">The IRS currently refers to cryptoassets as “digital assets” in its guidance; in the past the IRS used the term “virtual currency.” For purposes of this memorandum, </w:t>
      </w:r>
      <w:r w:rsidR="00DD447E" w:rsidRPr="00783A69">
        <w:rPr>
          <w:sz w:val="22"/>
          <w:szCs w:val="22"/>
        </w:rPr>
        <w:t>all three</w:t>
      </w:r>
      <w:r w:rsidRPr="00783A69">
        <w:rPr>
          <w:sz w:val="22"/>
          <w:szCs w:val="22"/>
        </w:rPr>
        <w:t xml:space="preserve"> terms are intended to be interchangeable.</w:t>
      </w:r>
    </w:p>
  </w:footnote>
  <w:footnote w:id="2">
    <w:p w14:paraId="7C90A34D" w14:textId="44DB90EE" w:rsidR="00357E07" w:rsidRPr="00783A69" w:rsidRDefault="00357E07">
      <w:pPr>
        <w:pStyle w:val="FootnoteText"/>
        <w:rPr>
          <w:sz w:val="22"/>
          <w:szCs w:val="22"/>
        </w:rPr>
      </w:pPr>
      <w:r w:rsidRPr="00783A69">
        <w:rPr>
          <w:rStyle w:val="FootnoteReference"/>
          <w:sz w:val="22"/>
          <w:szCs w:val="22"/>
        </w:rPr>
        <w:footnoteRef/>
      </w:r>
      <w:r w:rsidRPr="00783A69">
        <w:rPr>
          <w:sz w:val="22"/>
          <w:szCs w:val="22"/>
        </w:rPr>
        <w:t xml:space="preserve"> </w:t>
      </w:r>
      <w:r w:rsidR="00024819" w:rsidRPr="00783A69">
        <w:rPr>
          <w:sz w:val="22"/>
          <w:szCs w:val="22"/>
        </w:rPr>
        <w:tab/>
      </w:r>
      <w:r w:rsidR="007147BF" w:rsidRPr="00783A69">
        <w:rPr>
          <w:sz w:val="22"/>
          <w:szCs w:val="22"/>
        </w:rPr>
        <w:t>To be clear, there is</w:t>
      </w:r>
      <w:r w:rsidRPr="00783A69">
        <w:rPr>
          <w:sz w:val="22"/>
          <w:szCs w:val="22"/>
        </w:rPr>
        <w:t xml:space="preserve"> no </w:t>
      </w:r>
      <w:proofErr w:type="gramStart"/>
      <w:r w:rsidRPr="00783A69">
        <w:rPr>
          <w:sz w:val="22"/>
          <w:szCs w:val="22"/>
        </w:rPr>
        <w:t>particular reason</w:t>
      </w:r>
      <w:proofErr w:type="gramEnd"/>
      <w:r w:rsidRPr="00783A69">
        <w:rPr>
          <w:sz w:val="22"/>
          <w:szCs w:val="22"/>
        </w:rPr>
        <w:t xml:space="preserve"> this </w:t>
      </w:r>
      <w:proofErr w:type="gramStart"/>
      <w:r w:rsidRPr="00783A69">
        <w:rPr>
          <w:sz w:val="22"/>
          <w:szCs w:val="22"/>
        </w:rPr>
        <w:t>has to</w:t>
      </w:r>
      <w:proofErr w:type="gramEnd"/>
      <w:r w:rsidRPr="00783A69">
        <w:rPr>
          <w:sz w:val="22"/>
          <w:szCs w:val="22"/>
        </w:rPr>
        <w:t xml:space="preserve"> be a staking pool – the analysis would work</w:t>
      </w:r>
      <w:r w:rsidR="00024819" w:rsidRPr="00783A69">
        <w:rPr>
          <w:sz w:val="22"/>
          <w:szCs w:val="22"/>
        </w:rPr>
        <w:t xml:space="preserve"> </w:t>
      </w:r>
      <w:r w:rsidRPr="00783A69">
        <w:rPr>
          <w:sz w:val="22"/>
          <w:szCs w:val="22"/>
        </w:rPr>
        <w:t>the same for a</w:t>
      </w:r>
      <w:r w:rsidR="00024819" w:rsidRPr="00783A69">
        <w:rPr>
          <w:sz w:val="22"/>
          <w:szCs w:val="22"/>
        </w:rPr>
        <w:t xml:space="preserve">ny pooling of crypto-assets that otherwise conformed with these facts. </w:t>
      </w:r>
    </w:p>
  </w:footnote>
  <w:footnote w:id="3">
    <w:p w14:paraId="79BE3D3A" w14:textId="2CF80EFC" w:rsidR="00593E21" w:rsidRPr="00783A69" w:rsidRDefault="00593E21">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t>This discussion of certain U.S. federal income tax matters is provided for informational purposes only. It is not intended to serve as tax advice and cannot be relied upon as such.  Those engaged in wrapping and unwrapping transactions should consult their own tax advisor regarding the matters discussed herein.</w:t>
      </w:r>
    </w:p>
  </w:footnote>
  <w:footnote w:id="4">
    <w:p w14:paraId="6B395486" w14:textId="6CE29ED1" w:rsidR="00275ECE" w:rsidRPr="00783A69" w:rsidRDefault="00275ECE">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t>Notice 2014-24</w:t>
      </w:r>
      <w:r w:rsidR="005367FF">
        <w:rPr>
          <w:sz w:val="22"/>
          <w:szCs w:val="22"/>
        </w:rPr>
        <w:t>.</w:t>
      </w:r>
    </w:p>
  </w:footnote>
  <w:footnote w:id="5">
    <w:p w14:paraId="31822734" w14:textId="709455C2" w:rsidR="00FC4C93" w:rsidRPr="00FC4C93" w:rsidRDefault="00FC4C93">
      <w:pPr>
        <w:pStyle w:val="FootnoteText"/>
      </w:pPr>
      <w:r>
        <w:rPr>
          <w:rStyle w:val="FootnoteReference"/>
        </w:rPr>
        <w:footnoteRef/>
      </w:r>
      <w:r>
        <w:t xml:space="preserve"> </w:t>
      </w:r>
      <w:r>
        <w:tab/>
      </w:r>
      <w:r>
        <w:rPr>
          <w:i/>
          <w:iCs/>
        </w:rPr>
        <w:t>See, generally</w:t>
      </w:r>
      <w:r>
        <w:t xml:space="preserve"> § 1001.  All section (“§”) references are to the U.S. Internal Revenue Code of 1986, as amended, and the Treasury Regulations (“Treas. Reg.”) promulgated thereunder.</w:t>
      </w:r>
    </w:p>
  </w:footnote>
  <w:footnote w:id="6">
    <w:p w14:paraId="12CED1F3" w14:textId="168B0A5E" w:rsidR="00450230" w:rsidRPr="00783A69" w:rsidRDefault="00450230" w:rsidP="00450230">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r>
      <w:r w:rsidRPr="00783A69">
        <w:rPr>
          <w:i/>
          <w:sz w:val="22"/>
          <w:szCs w:val="22"/>
        </w:rPr>
        <w:t>See</w:t>
      </w:r>
      <w:r w:rsidRPr="00783A69">
        <w:rPr>
          <w:i/>
          <w:spacing w:val="-7"/>
          <w:sz w:val="22"/>
          <w:szCs w:val="22"/>
        </w:rPr>
        <w:t xml:space="preserve"> </w:t>
      </w:r>
      <w:r w:rsidRPr="00783A69">
        <w:rPr>
          <w:sz w:val="22"/>
          <w:szCs w:val="22"/>
        </w:rPr>
        <w:t>Rev.</w:t>
      </w:r>
      <w:r w:rsidRPr="00783A69">
        <w:rPr>
          <w:spacing w:val="-5"/>
          <w:sz w:val="22"/>
          <w:szCs w:val="22"/>
        </w:rPr>
        <w:t xml:space="preserve"> </w:t>
      </w:r>
      <w:r w:rsidRPr="00783A69">
        <w:rPr>
          <w:sz w:val="22"/>
          <w:szCs w:val="22"/>
        </w:rPr>
        <w:t>Rul.</w:t>
      </w:r>
      <w:r w:rsidRPr="00783A69">
        <w:rPr>
          <w:spacing w:val="-4"/>
          <w:sz w:val="22"/>
          <w:szCs w:val="22"/>
        </w:rPr>
        <w:t xml:space="preserve"> </w:t>
      </w:r>
      <w:r w:rsidRPr="00783A69">
        <w:rPr>
          <w:sz w:val="22"/>
          <w:szCs w:val="22"/>
        </w:rPr>
        <w:t>82-144,</w:t>
      </w:r>
      <w:r w:rsidRPr="00783A69">
        <w:rPr>
          <w:spacing w:val="-5"/>
          <w:sz w:val="22"/>
          <w:szCs w:val="22"/>
        </w:rPr>
        <w:t xml:space="preserve"> </w:t>
      </w:r>
      <w:r w:rsidRPr="00783A69">
        <w:rPr>
          <w:sz w:val="22"/>
          <w:szCs w:val="22"/>
        </w:rPr>
        <w:t>1982-2</w:t>
      </w:r>
      <w:r w:rsidRPr="00783A69">
        <w:rPr>
          <w:spacing w:val="-5"/>
          <w:sz w:val="22"/>
          <w:szCs w:val="22"/>
        </w:rPr>
        <w:t xml:space="preserve"> </w:t>
      </w:r>
      <w:r w:rsidRPr="00783A69">
        <w:rPr>
          <w:sz w:val="22"/>
          <w:szCs w:val="22"/>
        </w:rPr>
        <w:t>C.B.</w:t>
      </w:r>
      <w:r w:rsidRPr="00783A69">
        <w:rPr>
          <w:spacing w:val="-4"/>
          <w:sz w:val="22"/>
          <w:szCs w:val="22"/>
        </w:rPr>
        <w:t xml:space="preserve"> </w:t>
      </w:r>
      <w:r w:rsidRPr="00783A69">
        <w:rPr>
          <w:spacing w:val="-5"/>
          <w:sz w:val="22"/>
          <w:szCs w:val="22"/>
        </w:rPr>
        <w:t>34</w:t>
      </w:r>
      <w:r w:rsidR="007147BF" w:rsidRPr="00783A69">
        <w:rPr>
          <w:spacing w:val="-5"/>
          <w:sz w:val="22"/>
          <w:szCs w:val="22"/>
        </w:rPr>
        <w:t xml:space="preserve"> (emphasis added).</w:t>
      </w:r>
    </w:p>
  </w:footnote>
  <w:footnote w:id="7">
    <w:p w14:paraId="2D3D1A69" w14:textId="42CBB8A5" w:rsidR="00450230" w:rsidRPr="00783A69" w:rsidRDefault="00450230" w:rsidP="00092EDA">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r>
      <w:r w:rsidRPr="00783A69">
        <w:rPr>
          <w:i/>
          <w:sz w:val="22"/>
          <w:szCs w:val="22"/>
        </w:rPr>
        <w:t>See, e.g.</w:t>
      </w:r>
      <w:r w:rsidRPr="00783A69">
        <w:rPr>
          <w:sz w:val="22"/>
          <w:szCs w:val="22"/>
        </w:rPr>
        <w:t xml:space="preserve">, </w:t>
      </w:r>
      <w:r w:rsidRPr="00783A69">
        <w:rPr>
          <w:i/>
          <w:sz w:val="22"/>
          <w:szCs w:val="22"/>
        </w:rPr>
        <w:t>Grodt &amp; McKay Realty Inc. v. Comm’r</w:t>
      </w:r>
      <w:r w:rsidRPr="00783A69">
        <w:rPr>
          <w:sz w:val="22"/>
          <w:szCs w:val="22"/>
        </w:rPr>
        <w:t xml:space="preserve">, 77 T.C. 1221 (1981) (applying a multifactor benefits and burdens test to determine whether certain purported sales constituted a lease for tax purposes); </w:t>
      </w:r>
      <w:r w:rsidRPr="00783A69">
        <w:rPr>
          <w:i/>
          <w:sz w:val="22"/>
          <w:szCs w:val="22"/>
        </w:rPr>
        <w:t>H.J. Heinz Co. v. United States</w:t>
      </w:r>
      <w:r w:rsidRPr="00783A69">
        <w:rPr>
          <w:sz w:val="22"/>
          <w:szCs w:val="22"/>
        </w:rPr>
        <w:t xml:space="preserve">, 76 Fed. Cl. 570 (2007) (citing and applying the </w:t>
      </w:r>
      <w:r w:rsidRPr="00783A69">
        <w:rPr>
          <w:i/>
          <w:iCs/>
          <w:sz w:val="22"/>
          <w:szCs w:val="22"/>
        </w:rPr>
        <w:t>Grodt &amp; McKay</w:t>
      </w:r>
      <w:r w:rsidRPr="00783A69">
        <w:rPr>
          <w:sz w:val="22"/>
          <w:szCs w:val="22"/>
        </w:rPr>
        <w:t xml:space="preserve"> benefits test to transfers of stock); </w:t>
      </w:r>
      <w:r w:rsidRPr="00783A69">
        <w:rPr>
          <w:i/>
          <w:sz w:val="22"/>
          <w:szCs w:val="22"/>
        </w:rPr>
        <w:t>Anderson v. Comm’r</w:t>
      </w:r>
      <w:r w:rsidRPr="00783A69">
        <w:rPr>
          <w:sz w:val="22"/>
          <w:szCs w:val="22"/>
        </w:rPr>
        <w:t>, 9 2 T.C. 138 (1989) (same).</w:t>
      </w:r>
    </w:p>
  </w:footnote>
  <w:footnote w:id="8">
    <w:p w14:paraId="1C2B05D0" w14:textId="1BAE6E67" w:rsidR="00450230" w:rsidRPr="00783A69" w:rsidRDefault="00450230" w:rsidP="00450230">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r>
      <w:r w:rsidRPr="00783A69">
        <w:rPr>
          <w:i/>
          <w:sz w:val="22"/>
          <w:szCs w:val="22"/>
        </w:rPr>
        <w:t xml:space="preserve">See </w:t>
      </w:r>
      <w:r w:rsidRPr="00783A69">
        <w:rPr>
          <w:sz w:val="22"/>
          <w:szCs w:val="22"/>
        </w:rPr>
        <w:t>Rev. Rul. 65-218, 1965-2 CB 566</w:t>
      </w:r>
      <w:r w:rsidR="00D250AF" w:rsidRPr="00783A69">
        <w:rPr>
          <w:sz w:val="22"/>
          <w:szCs w:val="22"/>
        </w:rPr>
        <w:t>.</w:t>
      </w:r>
    </w:p>
  </w:footnote>
  <w:footnote w:id="9">
    <w:p w14:paraId="3A0D6876" w14:textId="5E62528E" w:rsidR="007A3349" w:rsidRPr="00783A69" w:rsidRDefault="007A3349">
      <w:pPr>
        <w:pStyle w:val="FootnoteText"/>
        <w:rPr>
          <w:sz w:val="22"/>
          <w:szCs w:val="22"/>
        </w:rPr>
      </w:pPr>
      <w:r w:rsidRPr="00783A69">
        <w:rPr>
          <w:rStyle w:val="FootnoteReference"/>
          <w:sz w:val="22"/>
          <w:szCs w:val="22"/>
        </w:rPr>
        <w:footnoteRef/>
      </w:r>
      <w:r w:rsidRPr="00783A69">
        <w:rPr>
          <w:sz w:val="22"/>
          <w:szCs w:val="22"/>
        </w:rPr>
        <w:t xml:space="preserve"> </w:t>
      </w:r>
      <w:r w:rsidRPr="00783A69">
        <w:rPr>
          <w:sz w:val="22"/>
          <w:szCs w:val="22"/>
        </w:rPr>
        <w:tab/>
      </w:r>
      <w:r w:rsidR="00243899">
        <w:rPr>
          <w:i/>
          <w:iCs/>
          <w:color w:val="000000"/>
          <w:sz w:val="22"/>
          <w:szCs w:val="22"/>
        </w:rPr>
        <w:t>See</w:t>
      </w:r>
      <w:r w:rsidR="00243899" w:rsidRPr="00783A69">
        <w:rPr>
          <w:color w:val="000000"/>
          <w:sz w:val="22"/>
          <w:szCs w:val="22"/>
        </w:rPr>
        <w:t xml:space="preserve"> </w:t>
      </w:r>
      <w:r w:rsidRPr="00783A69">
        <w:rPr>
          <w:color w:val="000000"/>
          <w:sz w:val="22"/>
          <w:szCs w:val="22"/>
        </w:rPr>
        <w:t>Treas. Reg. § 1.1001-1(a).</w:t>
      </w:r>
    </w:p>
  </w:footnote>
  <w:footnote w:id="10">
    <w:p w14:paraId="2864E8CD" w14:textId="1135A456" w:rsidR="001500AF" w:rsidRPr="00783A69" w:rsidRDefault="001500AF">
      <w:pPr>
        <w:pStyle w:val="FootnoteText"/>
        <w:rPr>
          <w:sz w:val="22"/>
          <w:szCs w:val="22"/>
        </w:rPr>
      </w:pPr>
      <w:r w:rsidRPr="00783A69">
        <w:rPr>
          <w:rStyle w:val="FootnoteReference"/>
          <w:sz w:val="22"/>
          <w:szCs w:val="22"/>
        </w:rPr>
        <w:footnoteRef/>
      </w:r>
      <w:r w:rsidRPr="00783A69">
        <w:rPr>
          <w:sz w:val="22"/>
          <w:szCs w:val="22"/>
        </w:rPr>
        <w:t xml:space="preserve"> </w:t>
      </w:r>
      <w:r w:rsidR="002A6745">
        <w:rPr>
          <w:sz w:val="22"/>
          <w:szCs w:val="22"/>
        </w:rPr>
        <w:tab/>
      </w:r>
      <w:r w:rsidR="002A6745" w:rsidRPr="00D54BC0">
        <w:rPr>
          <w:i/>
          <w:iCs/>
          <w:sz w:val="22"/>
          <w:szCs w:val="22"/>
        </w:rPr>
        <w:t>Cottage Savings Ass’n v. Comm’r</w:t>
      </w:r>
      <w:r w:rsidR="002A6745">
        <w:rPr>
          <w:sz w:val="22"/>
          <w:szCs w:val="22"/>
        </w:rPr>
        <w:t xml:space="preserve">, </w:t>
      </w:r>
      <w:r w:rsidR="009F2004" w:rsidRPr="009F2004">
        <w:rPr>
          <w:sz w:val="22"/>
          <w:szCs w:val="22"/>
        </w:rPr>
        <w:t>499 U.S. 554</w:t>
      </w:r>
      <w:r w:rsidR="009F2004">
        <w:rPr>
          <w:sz w:val="22"/>
          <w:szCs w:val="22"/>
        </w:rPr>
        <w:t>,</w:t>
      </w:r>
      <w:r w:rsidR="00FE6550">
        <w:rPr>
          <w:sz w:val="22"/>
          <w:szCs w:val="22"/>
        </w:rPr>
        <w:t xml:space="preserve"> 566</w:t>
      </w:r>
      <w:r w:rsidR="009F2004">
        <w:rPr>
          <w:sz w:val="22"/>
          <w:szCs w:val="22"/>
        </w:rPr>
        <w:t xml:space="preserve"> (1991).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7164" w14:textId="4BCA03EB" w:rsidR="00537A77" w:rsidRDefault="00537A77" w:rsidP="00537A77">
    <w:pPr>
      <w:pStyle w:val="Header"/>
      <w:jc w:val="right"/>
    </w:pPr>
  </w:p>
  <w:p w14:paraId="51231267" w14:textId="77777777" w:rsidR="00537A77" w:rsidRDefault="00537A77" w:rsidP="00537A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523CE"/>
    <w:multiLevelType w:val="hybridMultilevel"/>
    <w:tmpl w:val="44644160"/>
    <w:lvl w:ilvl="0" w:tplc="B1A826C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89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0"/>
    <w:rsid w:val="00001838"/>
    <w:rsid w:val="00015D81"/>
    <w:rsid w:val="00017872"/>
    <w:rsid w:val="00021D4B"/>
    <w:rsid w:val="00024819"/>
    <w:rsid w:val="00092EDA"/>
    <w:rsid w:val="000C2E3B"/>
    <w:rsid w:val="000D44E8"/>
    <w:rsid w:val="000E62A8"/>
    <w:rsid w:val="00111006"/>
    <w:rsid w:val="00113FC7"/>
    <w:rsid w:val="00120499"/>
    <w:rsid w:val="001500AF"/>
    <w:rsid w:val="00185EF2"/>
    <w:rsid w:val="001E51BC"/>
    <w:rsid w:val="001E6057"/>
    <w:rsid w:val="00223D9C"/>
    <w:rsid w:val="002268B8"/>
    <w:rsid w:val="0023420F"/>
    <w:rsid w:val="00243899"/>
    <w:rsid w:val="002574E6"/>
    <w:rsid w:val="002735D8"/>
    <w:rsid w:val="00275ECE"/>
    <w:rsid w:val="002908CB"/>
    <w:rsid w:val="002A6745"/>
    <w:rsid w:val="002B23B5"/>
    <w:rsid w:val="002B5A3B"/>
    <w:rsid w:val="002C7DBD"/>
    <w:rsid w:val="002D6971"/>
    <w:rsid w:val="00321595"/>
    <w:rsid w:val="00330992"/>
    <w:rsid w:val="00330F0B"/>
    <w:rsid w:val="00357E07"/>
    <w:rsid w:val="00364D31"/>
    <w:rsid w:val="00365B19"/>
    <w:rsid w:val="00382C26"/>
    <w:rsid w:val="003A0492"/>
    <w:rsid w:val="003B2E56"/>
    <w:rsid w:val="003E4289"/>
    <w:rsid w:val="003F5529"/>
    <w:rsid w:val="0040445D"/>
    <w:rsid w:val="004204C0"/>
    <w:rsid w:val="0042524F"/>
    <w:rsid w:val="00450230"/>
    <w:rsid w:val="00492C20"/>
    <w:rsid w:val="004933B5"/>
    <w:rsid w:val="004B586A"/>
    <w:rsid w:val="004D309A"/>
    <w:rsid w:val="004E3F65"/>
    <w:rsid w:val="0051343B"/>
    <w:rsid w:val="00532A2C"/>
    <w:rsid w:val="005367FF"/>
    <w:rsid w:val="00537A77"/>
    <w:rsid w:val="0055727E"/>
    <w:rsid w:val="005603F4"/>
    <w:rsid w:val="00593E21"/>
    <w:rsid w:val="005A1AFF"/>
    <w:rsid w:val="005B0F1D"/>
    <w:rsid w:val="005B58F7"/>
    <w:rsid w:val="005B77D3"/>
    <w:rsid w:val="00600199"/>
    <w:rsid w:val="00640B8B"/>
    <w:rsid w:val="006726D6"/>
    <w:rsid w:val="00684478"/>
    <w:rsid w:val="00685149"/>
    <w:rsid w:val="0069379D"/>
    <w:rsid w:val="006D23D3"/>
    <w:rsid w:val="006E4714"/>
    <w:rsid w:val="007147BF"/>
    <w:rsid w:val="00735311"/>
    <w:rsid w:val="00737653"/>
    <w:rsid w:val="00763453"/>
    <w:rsid w:val="00783A69"/>
    <w:rsid w:val="00786779"/>
    <w:rsid w:val="007966C1"/>
    <w:rsid w:val="007A2B95"/>
    <w:rsid w:val="007A3349"/>
    <w:rsid w:val="007A3366"/>
    <w:rsid w:val="007B2A7B"/>
    <w:rsid w:val="007B51CD"/>
    <w:rsid w:val="007D7625"/>
    <w:rsid w:val="00800A4F"/>
    <w:rsid w:val="008049CE"/>
    <w:rsid w:val="0081272A"/>
    <w:rsid w:val="008158B5"/>
    <w:rsid w:val="0082382C"/>
    <w:rsid w:val="0083290C"/>
    <w:rsid w:val="00845BCB"/>
    <w:rsid w:val="00866CC6"/>
    <w:rsid w:val="008A0549"/>
    <w:rsid w:val="008B0EA2"/>
    <w:rsid w:val="008D6E91"/>
    <w:rsid w:val="00905ED0"/>
    <w:rsid w:val="009310EB"/>
    <w:rsid w:val="009B3FDA"/>
    <w:rsid w:val="009C6D69"/>
    <w:rsid w:val="009F2004"/>
    <w:rsid w:val="00A2458E"/>
    <w:rsid w:val="00A2799C"/>
    <w:rsid w:val="00A47B35"/>
    <w:rsid w:val="00A7775A"/>
    <w:rsid w:val="00AD50CC"/>
    <w:rsid w:val="00AF400F"/>
    <w:rsid w:val="00AF75E2"/>
    <w:rsid w:val="00B058EC"/>
    <w:rsid w:val="00B210EE"/>
    <w:rsid w:val="00B42753"/>
    <w:rsid w:val="00B64411"/>
    <w:rsid w:val="00BB1381"/>
    <w:rsid w:val="00BD5C2A"/>
    <w:rsid w:val="00BE7C1A"/>
    <w:rsid w:val="00C07CE5"/>
    <w:rsid w:val="00C147A8"/>
    <w:rsid w:val="00C6000D"/>
    <w:rsid w:val="00CC6E0C"/>
    <w:rsid w:val="00CD012B"/>
    <w:rsid w:val="00CD59C0"/>
    <w:rsid w:val="00CE667E"/>
    <w:rsid w:val="00D250AF"/>
    <w:rsid w:val="00D33F82"/>
    <w:rsid w:val="00D539DD"/>
    <w:rsid w:val="00D54BC0"/>
    <w:rsid w:val="00D66EF6"/>
    <w:rsid w:val="00D918F8"/>
    <w:rsid w:val="00D923D2"/>
    <w:rsid w:val="00DB2090"/>
    <w:rsid w:val="00DB508E"/>
    <w:rsid w:val="00DD3708"/>
    <w:rsid w:val="00DD447E"/>
    <w:rsid w:val="00DE7EDA"/>
    <w:rsid w:val="00DF1F3F"/>
    <w:rsid w:val="00E34411"/>
    <w:rsid w:val="00E53A23"/>
    <w:rsid w:val="00E62407"/>
    <w:rsid w:val="00E65C1F"/>
    <w:rsid w:val="00E65E63"/>
    <w:rsid w:val="00E94406"/>
    <w:rsid w:val="00EB2F7E"/>
    <w:rsid w:val="00EB3088"/>
    <w:rsid w:val="00F00304"/>
    <w:rsid w:val="00F13611"/>
    <w:rsid w:val="00F55A48"/>
    <w:rsid w:val="00F60E7A"/>
    <w:rsid w:val="00F64AED"/>
    <w:rsid w:val="00FC298D"/>
    <w:rsid w:val="00FC4C93"/>
    <w:rsid w:val="00FC64B9"/>
    <w:rsid w:val="00FE03FF"/>
    <w:rsid w:val="00FE6550"/>
    <w:rsid w:val="00FF062F"/>
    <w:rsid w:val="00FF1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B6D4"/>
  <w15:chartTrackingRefBased/>
  <w15:docId w15:val="{CB12C6BE-8546-4DAE-82CA-ACB824C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90"/>
    <w:pPr>
      <w:spacing w:before="60" w:after="0" w:line="240" w:lineRule="auto"/>
      <w:ind w:left="432" w:hanging="432"/>
    </w:pPr>
    <w:rPr>
      <w:rFonts w:ascii="Calibri" w:hAnsi="Calibri"/>
      <w:sz w:val="24"/>
      <w:szCs w:val="24"/>
    </w:rPr>
  </w:style>
  <w:style w:type="paragraph" w:styleId="Heading1">
    <w:name w:val="heading 1"/>
    <w:basedOn w:val="Normal"/>
    <w:next w:val="Normal"/>
    <w:link w:val="Heading1Char"/>
    <w:uiPriority w:val="9"/>
    <w:qFormat/>
    <w:rsid w:val="00DB2090"/>
    <w:pPr>
      <w:keepNext/>
      <w:keepLines/>
      <w:spacing w:before="360" w:after="80" w:line="259"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090"/>
    <w:pPr>
      <w:keepNext/>
      <w:keepLines/>
      <w:spacing w:before="160" w:after="80" w:line="259"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090"/>
    <w:pPr>
      <w:keepNext/>
      <w:keepLines/>
      <w:spacing w:before="160" w:after="80" w:line="259"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090"/>
    <w:pPr>
      <w:keepNext/>
      <w:keepLines/>
      <w:spacing w:before="80" w:after="40" w:line="259" w:lineRule="auto"/>
      <w:ind w:left="0" w:firstLine="0"/>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DB2090"/>
    <w:pPr>
      <w:keepNext/>
      <w:keepLines/>
      <w:spacing w:before="80" w:after="40" w:line="259" w:lineRule="auto"/>
      <w:ind w:left="0" w:firstLine="0"/>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DB2090"/>
    <w:pPr>
      <w:keepNext/>
      <w:keepLines/>
      <w:spacing w:before="40" w:line="259" w:lineRule="auto"/>
      <w:ind w:left="0" w:firstLine="0"/>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DB2090"/>
    <w:pPr>
      <w:keepNext/>
      <w:keepLines/>
      <w:spacing w:before="40" w:line="259" w:lineRule="auto"/>
      <w:ind w:left="0" w:firstLine="0"/>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DB2090"/>
    <w:pPr>
      <w:keepNext/>
      <w:keepLines/>
      <w:spacing w:before="0" w:line="259" w:lineRule="auto"/>
      <w:ind w:left="0" w:firstLine="0"/>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DB2090"/>
    <w:pPr>
      <w:keepNext/>
      <w:keepLines/>
      <w:spacing w:before="0" w:line="259" w:lineRule="auto"/>
      <w:ind w:left="0" w:firstLine="0"/>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090"/>
    <w:rPr>
      <w:rFonts w:eastAsiaTheme="majorEastAsia" w:cstheme="majorBidi"/>
      <w:color w:val="272727" w:themeColor="text1" w:themeTint="D8"/>
    </w:rPr>
  </w:style>
  <w:style w:type="paragraph" w:styleId="Title">
    <w:name w:val="Title"/>
    <w:basedOn w:val="Normal"/>
    <w:next w:val="Normal"/>
    <w:link w:val="TitleChar"/>
    <w:uiPriority w:val="10"/>
    <w:qFormat/>
    <w:rsid w:val="00DB2090"/>
    <w:pPr>
      <w:spacing w:before="0" w:after="80"/>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090"/>
    <w:pPr>
      <w:numPr>
        <w:ilvl w:val="1"/>
      </w:numPr>
      <w:spacing w:before="0" w:after="160" w:line="259" w:lineRule="auto"/>
      <w:ind w:left="432" w:hanging="43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090"/>
    <w:pPr>
      <w:spacing w:before="160" w:after="160" w:line="259" w:lineRule="auto"/>
      <w:ind w:left="0" w:firstLine="0"/>
      <w:jc w:val="center"/>
    </w:pPr>
    <w:rPr>
      <w:rFonts w:asciiTheme="minorHAnsi" w:hAnsiTheme="minorHAnsi"/>
      <w:i/>
      <w:iCs/>
      <w:color w:val="404040" w:themeColor="text1" w:themeTint="BF"/>
      <w:sz w:val="22"/>
      <w:szCs w:val="22"/>
    </w:rPr>
  </w:style>
  <w:style w:type="character" w:customStyle="1" w:styleId="QuoteChar">
    <w:name w:val="Quote Char"/>
    <w:basedOn w:val="DefaultParagraphFont"/>
    <w:link w:val="Quote"/>
    <w:uiPriority w:val="29"/>
    <w:rsid w:val="00DB2090"/>
    <w:rPr>
      <w:i/>
      <w:iCs/>
      <w:color w:val="404040" w:themeColor="text1" w:themeTint="BF"/>
    </w:rPr>
  </w:style>
  <w:style w:type="paragraph" w:styleId="ListParagraph">
    <w:name w:val="List Paragraph"/>
    <w:basedOn w:val="Normal"/>
    <w:uiPriority w:val="34"/>
    <w:qFormat/>
    <w:rsid w:val="00DB2090"/>
    <w:pPr>
      <w:spacing w:before="0" w:after="160" w:line="259" w:lineRule="auto"/>
      <w:ind w:left="720" w:firstLine="0"/>
      <w:contextualSpacing/>
    </w:pPr>
    <w:rPr>
      <w:rFonts w:asciiTheme="minorHAnsi" w:hAnsiTheme="minorHAnsi"/>
      <w:sz w:val="22"/>
      <w:szCs w:val="22"/>
    </w:rPr>
  </w:style>
  <w:style w:type="character" w:styleId="IntenseEmphasis">
    <w:name w:val="Intense Emphasis"/>
    <w:basedOn w:val="DefaultParagraphFont"/>
    <w:uiPriority w:val="21"/>
    <w:qFormat/>
    <w:rsid w:val="00DB2090"/>
    <w:rPr>
      <w:i/>
      <w:iCs/>
      <w:color w:val="0F4761" w:themeColor="accent1" w:themeShade="BF"/>
    </w:rPr>
  </w:style>
  <w:style w:type="paragraph" w:styleId="IntenseQuote">
    <w:name w:val="Intense Quote"/>
    <w:basedOn w:val="Normal"/>
    <w:next w:val="Normal"/>
    <w:link w:val="IntenseQuoteChar"/>
    <w:uiPriority w:val="30"/>
    <w:qFormat/>
    <w:rsid w:val="00DB2090"/>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hAnsi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DB2090"/>
    <w:rPr>
      <w:i/>
      <w:iCs/>
      <w:color w:val="0F4761" w:themeColor="accent1" w:themeShade="BF"/>
    </w:rPr>
  </w:style>
  <w:style w:type="character" w:styleId="IntenseReference">
    <w:name w:val="Intense Reference"/>
    <w:basedOn w:val="DefaultParagraphFont"/>
    <w:uiPriority w:val="32"/>
    <w:qFormat/>
    <w:rsid w:val="00DB2090"/>
    <w:rPr>
      <w:b/>
      <w:bCs/>
      <w:smallCaps/>
      <w:color w:val="0F4761" w:themeColor="accent1" w:themeShade="BF"/>
      <w:spacing w:val="5"/>
    </w:rPr>
  </w:style>
  <w:style w:type="paragraph" w:styleId="FootnoteText">
    <w:name w:val="footnote text"/>
    <w:basedOn w:val="Normal"/>
    <w:link w:val="FootnoteTextChar"/>
    <w:uiPriority w:val="99"/>
    <w:semiHidden/>
    <w:unhideWhenUsed/>
    <w:rsid w:val="00DB2090"/>
    <w:rPr>
      <w:sz w:val="20"/>
      <w:szCs w:val="20"/>
    </w:rPr>
  </w:style>
  <w:style w:type="character" w:customStyle="1" w:styleId="FootnoteTextChar">
    <w:name w:val="Footnote Text Char"/>
    <w:basedOn w:val="DefaultParagraphFont"/>
    <w:link w:val="FootnoteText"/>
    <w:uiPriority w:val="99"/>
    <w:semiHidden/>
    <w:rsid w:val="00DB2090"/>
    <w:rPr>
      <w:rFonts w:ascii="Calibri" w:hAnsi="Calibri"/>
      <w:sz w:val="20"/>
      <w:szCs w:val="20"/>
    </w:rPr>
  </w:style>
  <w:style w:type="character" w:styleId="FootnoteReference">
    <w:name w:val="footnote reference"/>
    <w:aliases w:val="fr,*,FN Ref,Style 49"/>
    <w:basedOn w:val="DefaultParagraphFont"/>
    <w:uiPriority w:val="99"/>
    <w:unhideWhenUsed/>
    <w:qFormat/>
    <w:rsid w:val="00DB2090"/>
    <w:rPr>
      <w:vertAlign w:val="superscript"/>
    </w:rPr>
  </w:style>
  <w:style w:type="paragraph" w:styleId="Header">
    <w:name w:val="header"/>
    <w:basedOn w:val="Normal"/>
    <w:link w:val="HeaderChar"/>
    <w:uiPriority w:val="99"/>
    <w:unhideWhenUsed/>
    <w:rsid w:val="00537A77"/>
    <w:pPr>
      <w:tabs>
        <w:tab w:val="center" w:pos="4680"/>
        <w:tab w:val="right" w:pos="9360"/>
      </w:tabs>
      <w:spacing w:before="0"/>
    </w:pPr>
  </w:style>
  <w:style w:type="character" w:customStyle="1" w:styleId="HeaderChar">
    <w:name w:val="Header Char"/>
    <w:basedOn w:val="DefaultParagraphFont"/>
    <w:link w:val="Header"/>
    <w:uiPriority w:val="99"/>
    <w:rsid w:val="00537A77"/>
    <w:rPr>
      <w:rFonts w:ascii="Calibri" w:hAnsi="Calibri"/>
      <w:sz w:val="24"/>
      <w:szCs w:val="24"/>
    </w:rPr>
  </w:style>
  <w:style w:type="paragraph" w:styleId="Footer">
    <w:name w:val="footer"/>
    <w:basedOn w:val="Normal"/>
    <w:link w:val="FooterChar"/>
    <w:uiPriority w:val="99"/>
    <w:unhideWhenUsed/>
    <w:rsid w:val="00537A77"/>
    <w:pPr>
      <w:tabs>
        <w:tab w:val="center" w:pos="4680"/>
        <w:tab w:val="right" w:pos="9360"/>
      </w:tabs>
      <w:spacing w:before="0"/>
    </w:pPr>
  </w:style>
  <w:style w:type="character" w:customStyle="1" w:styleId="FooterChar">
    <w:name w:val="Footer Char"/>
    <w:basedOn w:val="DefaultParagraphFont"/>
    <w:link w:val="Footer"/>
    <w:uiPriority w:val="99"/>
    <w:rsid w:val="00537A77"/>
    <w:rPr>
      <w:rFonts w:ascii="Calibri" w:hAnsi="Calibri"/>
      <w:sz w:val="24"/>
      <w:szCs w:val="24"/>
    </w:rPr>
  </w:style>
  <w:style w:type="character" w:styleId="CommentReference">
    <w:name w:val="annotation reference"/>
    <w:basedOn w:val="DefaultParagraphFont"/>
    <w:uiPriority w:val="99"/>
    <w:semiHidden/>
    <w:unhideWhenUsed/>
    <w:rsid w:val="007B51CD"/>
    <w:rPr>
      <w:sz w:val="16"/>
      <w:szCs w:val="16"/>
    </w:rPr>
  </w:style>
  <w:style w:type="paragraph" w:styleId="CommentText">
    <w:name w:val="annotation text"/>
    <w:basedOn w:val="Normal"/>
    <w:link w:val="CommentTextChar"/>
    <w:uiPriority w:val="99"/>
    <w:unhideWhenUsed/>
    <w:rsid w:val="007B51CD"/>
    <w:rPr>
      <w:sz w:val="20"/>
      <w:szCs w:val="20"/>
    </w:rPr>
  </w:style>
  <w:style w:type="character" w:customStyle="1" w:styleId="CommentTextChar">
    <w:name w:val="Comment Text Char"/>
    <w:basedOn w:val="DefaultParagraphFont"/>
    <w:link w:val="CommentText"/>
    <w:uiPriority w:val="99"/>
    <w:rsid w:val="007B51C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B51CD"/>
    <w:rPr>
      <w:b/>
      <w:bCs/>
    </w:rPr>
  </w:style>
  <w:style w:type="character" w:customStyle="1" w:styleId="CommentSubjectChar">
    <w:name w:val="Comment Subject Char"/>
    <w:basedOn w:val="CommentTextChar"/>
    <w:link w:val="CommentSubject"/>
    <w:uiPriority w:val="99"/>
    <w:semiHidden/>
    <w:rsid w:val="007B51CD"/>
    <w:rPr>
      <w:rFonts w:ascii="Calibri" w:hAnsi="Calibri"/>
      <w:b/>
      <w:bCs/>
      <w:sz w:val="20"/>
      <w:szCs w:val="20"/>
    </w:rPr>
  </w:style>
  <w:style w:type="paragraph" w:styleId="Revision">
    <w:name w:val="Revision"/>
    <w:hidden/>
    <w:uiPriority w:val="99"/>
    <w:semiHidden/>
    <w:rsid w:val="00E53A23"/>
    <w:pPr>
      <w:spacing w:after="0" w:line="240" w:lineRule="auto"/>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76F45-34AE-4B01-AA5A-AD048494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8281</Characters>
  <Application>Microsoft Office Word</Application>
  <DocSecurity>0</DocSecurity>
  <Lines>131</Lines>
  <Paragraphs>35</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Sean McElroy</cp:lastModifiedBy>
  <cp:revision>2</cp:revision>
  <dcterms:created xsi:type="dcterms:W3CDTF">1900-01-01T08:00:00Z</dcterms:created>
  <dcterms:modified xsi:type="dcterms:W3CDTF">2026-02-03T02:21:00Z</dcterms:modified>
</cp:coreProperties>
</file>